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line="288" w:lineRule="auto"/>
        <w:jc w:val="center"/>
        <w:rPr>
          <w:rFonts w:ascii="Arial" w:hAnsi="Arial" w:cs="Arial"/>
          <w:b/>
          <w:bCs/>
          <w:color w:val="000080"/>
        </w:rPr>
      </w:pPr>
      <w:bookmarkStart w:id="0" w:name="_GoBack"/>
      <w:bookmarkEnd w:id="0"/>
      <w:r>
        <w:rPr>
          <w:rFonts w:ascii="Arial" w:hAnsi="Arial" w:cs="Arial"/>
          <w:b/>
          <w:bCs/>
          <w:color w:val="000080"/>
        </w:rPr>
        <w:t>Medameriška razvojna banka in Slovenija: poslovne priložnosti v regiji Latinske Amerike in Karibov, seminar,  6. februar 2024</w:t>
      </w:r>
    </w:p>
    <w:p>
      <w:pPr>
        <w:pStyle w:val="20"/>
        <w:spacing w:line="288" w:lineRule="auto"/>
        <w:jc w:val="both"/>
        <w:rPr>
          <w:rFonts w:ascii="Arial" w:hAnsi="Arial" w:cs="Arial"/>
          <w:sz w:val="20"/>
          <w:szCs w:val="20"/>
        </w:rPr>
      </w:pPr>
    </w:p>
    <w:p>
      <w:pPr>
        <w:pStyle w:val="20"/>
        <w:spacing w:line="288" w:lineRule="auto"/>
        <w:jc w:val="both"/>
        <w:rPr>
          <w:rFonts w:ascii="Arial" w:hAnsi="Arial" w:cs="Arial"/>
          <w:sz w:val="20"/>
          <w:szCs w:val="20"/>
        </w:rPr>
      </w:pPr>
      <w:r>
        <w:rPr>
          <w:rFonts w:ascii="Arial" w:hAnsi="Arial" w:cs="Arial"/>
          <w:sz w:val="20"/>
          <w:szCs w:val="20"/>
        </w:rPr>
        <w:t>Ministrstvo za finance v sodelovanju z Ministrstvom za zunanje in evropske zadeve, javno agencijo SPIRIT in Medameriško razvojno banko (</w:t>
      </w:r>
      <w:r>
        <w:rPr>
          <w:rFonts w:ascii="Arial" w:hAnsi="Arial" w:cs="Arial"/>
          <w:iCs/>
          <w:sz w:val="20"/>
          <w:szCs w:val="20"/>
        </w:rPr>
        <w:t>Inter-American Development Bank, IDB)</w:t>
      </w:r>
      <w:r>
        <w:rPr>
          <w:rFonts w:ascii="Arial" w:hAnsi="Arial" w:cs="Arial"/>
          <w:sz w:val="20"/>
          <w:szCs w:val="20"/>
        </w:rPr>
        <w:t xml:space="preserve"> ponovno vabi na seminar, ki se osredotoča na poslovne priložnosti pri projektnem sodelovanju v državah Latinske Amerike in na Karibih (LAK) ob podpori IDB, kot tudi pri poslih banke s sedežem v Washingtonu, D.C., in pisarnami po vseh regijah njenih članic, tudi v Evropi (Madrid). Dogodek je ponovno organiziran v okviru aktivnosti Dnevi LAK 2024, mednarodne konference Ministrstva za zunanje in evropske zadeve, namenjene krepitvi sodelovanja z državami regije Latinske Amerike in Karibov.</w:t>
      </w:r>
    </w:p>
    <w:p>
      <w:pPr>
        <w:pStyle w:val="20"/>
        <w:spacing w:line="288" w:lineRule="auto"/>
        <w:jc w:val="both"/>
        <w:rPr>
          <w:rFonts w:ascii="Arial" w:hAnsi="Arial" w:cs="Arial"/>
          <w:color w:val="auto"/>
          <w:sz w:val="20"/>
          <w:szCs w:val="20"/>
        </w:rPr>
      </w:pPr>
    </w:p>
    <w:p>
      <w:pPr>
        <w:pStyle w:val="20"/>
        <w:spacing w:line="288" w:lineRule="auto"/>
        <w:jc w:val="both"/>
        <w:rPr>
          <w:rFonts w:ascii="Arial" w:hAnsi="Arial" w:cs="Arial"/>
          <w:sz w:val="20"/>
          <w:szCs w:val="20"/>
        </w:rPr>
      </w:pPr>
      <w:r>
        <w:rPr>
          <w:rFonts w:ascii="Arial" w:hAnsi="Arial" w:cs="Arial"/>
          <w:sz w:val="20"/>
          <w:szCs w:val="20"/>
        </w:rPr>
        <w:t xml:space="preserve">Prvi del seminarja bo namenjen predstavitvi skupine IDB in priložnosti za sodelovanje na javnih naročilih, tako za projekte, sofinancirane s strani IDB, kot tudi lastne posle banke. V drugem delu se bodo predstavniki Medameriške razvojne banke osredotočili na aktivnosti v posameznih sektorjih, kjer se kažejo sinergije med državami obeh regij, to je predvsem na področju okolja, voda, digitalizacije, kibernetske varnosti in umetne inteligence ter obnovljivih virov energije in energetike oziroma upravljanja z gozdovi in tveganji naravnih nesreč v kmetijstvu. </w:t>
      </w:r>
    </w:p>
    <w:p>
      <w:pPr>
        <w:pStyle w:val="20"/>
        <w:spacing w:line="288" w:lineRule="auto"/>
        <w:jc w:val="both"/>
        <w:rPr>
          <w:rFonts w:ascii="Arial" w:hAnsi="Arial" w:cs="Arial"/>
          <w:sz w:val="20"/>
          <w:szCs w:val="20"/>
        </w:rPr>
      </w:pPr>
    </w:p>
    <w:p>
      <w:pPr>
        <w:pStyle w:val="20"/>
        <w:spacing w:line="288" w:lineRule="auto"/>
        <w:jc w:val="both"/>
        <w:rPr>
          <w:rFonts w:ascii="Arial" w:hAnsi="Arial" w:cs="Arial"/>
          <w:sz w:val="20"/>
          <w:szCs w:val="20"/>
        </w:rPr>
      </w:pPr>
      <w:r>
        <w:rPr>
          <w:rFonts w:ascii="Arial" w:hAnsi="Arial" w:cs="Arial"/>
          <w:sz w:val="20"/>
          <w:szCs w:val="20"/>
        </w:rPr>
        <w:t>Na seminarju bodo preko video povezave sodelovali najboljši strokovnjaki IDB za posamezna področja, glede splošnih vsebin pa bodo na seminarju fizično prisotni predstavniki IDB, s katerimi se boste lahko dogovorili tudi za morebitna bilateralna srečanja po zaključku seminarja.  Bilateralna srečanja bodo namenjena še podrobnejši seznanitvi s posameznimi področji delovanja, tudi v sektorjih, ki morda ne bodo predstavljeni na samem seminarju. Predstavljena bo tudi platforma ConnectAmericas.</w:t>
      </w:r>
    </w:p>
    <w:p>
      <w:pPr>
        <w:pStyle w:val="20"/>
        <w:spacing w:line="288" w:lineRule="auto"/>
        <w:jc w:val="both"/>
        <w:rPr>
          <w:rFonts w:ascii="Arial" w:hAnsi="Arial" w:cs="Arial"/>
          <w:sz w:val="20"/>
          <w:szCs w:val="20"/>
        </w:rPr>
      </w:pPr>
    </w:p>
    <w:p>
      <w:pPr>
        <w:pStyle w:val="20"/>
        <w:spacing w:line="288" w:lineRule="auto"/>
        <w:jc w:val="both"/>
        <w:rPr>
          <w:rFonts w:ascii="Arial" w:hAnsi="Arial" w:cs="Arial"/>
          <w:sz w:val="20"/>
          <w:szCs w:val="20"/>
        </w:rPr>
      </w:pPr>
      <w:r>
        <w:rPr>
          <w:rFonts w:ascii="Arial" w:hAnsi="Arial" w:cs="Arial"/>
          <w:sz w:val="20"/>
          <w:szCs w:val="20"/>
        </w:rPr>
        <w:t xml:space="preserve">Seminar je namenjen vsem podjetjem, tako dobaviteljem blaga in storitev, kot tudi svetovalnim podjetjem in posameznikom svetovalcem, ki jih zanima odkrivanje poslovnih priložnosti v tej raznoliki regiji s številnimi izzivi, pri naslavljanju katerih si želimo, da bi bilo vključeno tudi slovensko gospodarstvo. </w:t>
      </w:r>
    </w:p>
    <w:p>
      <w:pPr>
        <w:pStyle w:val="20"/>
        <w:spacing w:line="288" w:lineRule="auto"/>
        <w:ind w:left="1701" w:hanging="1701"/>
        <w:rPr>
          <w:rFonts w:ascii="Arial" w:hAnsi="Arial" w:cs="Arial"/>
          <w:b/>
          <w:bCs/>
          <w:sz w:val="20"/>
          <w:szCs w:val="20"/>
        </w:rPr>
      </w:pPr>
    </w:p>
    <w:p>
      <w:pPr>
        <w:pStyle w:val="20"/>
        <w:spacing w:line="288" w:lineRule="auto"/>
        <w:ind w:left="1701" w:hanging="1701"/>
        <w:rPr>
          <w:rFonts w:ascii="Arial" w:hAnsi="Arial" w:cs="Arial"/>
          <w:sz w:val="20"/>
          <w:szCs w:val="20"/>
        </w:rPr>
      </w:pPr>
      <w:r>
        <w:rPr>
          <w:rFonts w:ascii="Arial" w:hAnsi="Arial" w:cs="Arial"/>
          <w:b/>
          <w:bCs/>
          <w:sz w:val="20"/>
          <w:szCs w:val="20"/>
        </w:rPr>
        <w:t>Kje</w:t>
      </w:r>
      <w:r>
        <w:rPr>
          <w:rFonts w:ascii="Arial" w:hAnsi="Arial" w:cs="Arial"/>
          <w:sz w:val="20"/>
          <w:szCs w:val="20"/>
        </w:rPr>
        <w:t xml:space="preserve">: </w:t>
      </w:r>
      <w:r>
        <w:rPr>
          <w:rFonts w:ascii="Arial" w:hAnsi="Arial" w:cs="Arial"/>
          <w:sz w:val="20"/>
          <w:szCs w:val="20"/>
        </w:rPr>
        <w:tab/>
      </w:r>
      <w:r>
        <w:rPr>
          <w:rFonts w:ascii="Arial" w:hAnsi="Arial" w:cs="Arial"/>
          <w:sz w:val="20"/>
          <w:szCs w:val="20"/>
          <w:lang w:val="en-US"/>
        </w:rPr>
        <w:t>Center of Excellence in Finance</w:t>
      </w:r>
      <w:r>
        <w:rPr>
          <w:rFonts w:ascii="Arial" w:hAnsi="Arial" w:cs="Arial"/>
          <w:sz w:val="20"/>
          <w:szCs w:val="20"/>
        </w:rPr>
        <w:t>, dvorana Bled</w:t>
      </w:r>
    </w:p>
    <w:p>
      <w:pPr>
        <w:pStyle w:val="20"/>
        <w:spacing w:line="288" w:lineRule="auto"/>
        <w:ind w:left="1701"/>
        <w:rPr>
          <w:rFonts w:ascii="Arial" w:hAnsi="Arial" w:cs="Arial"/>
          <w:sz w:val="20"/>
          <w:szCs w:val="20"/>
        </w:rPr>
      </w:pPr>
      <w:r>
        <w:rPr>
          <w:rFonts w:ascii="Arial" w:hAnsi="Arial" w:cs="Arial"/>
          <w:sz w:val="20"/>
          <w:szCs w:val="20"/>
        </w:rPr>
        <w:t>Cankarjeva cesta 18, Ljubljana</w:t>
      </w:r>
    </w:p>
    <w:p>
      <w:pPr>
        <w:pStyle w:val="20"/>
        <w:spacing w:line="288" w:lineRule="auto"/>
        <w:ind w:left="1701" w:hanging="1701"/>
        <w:rPr>
          <w:rFonts w:ascii="Arial" w:hAnsi="Arial" w:cs="Arial"/>
          <w:b/>
          <w:bCs/>
          <w:sz w:val="20"/>
          <w:szCs w:val="20"/>
        </w:rPr>
      </w:pPr>
    </w:p>
    <w:p>
      <w:pPr>
        <w:pStyle w:val="20"/>
        <w:spacing w:line="288" w:lineRule="auto"/>
        <w:ind w:left="1701" w:hanging="1701"/>
        <w:rPr>
          <w:rFonts w:ascii="Arial" w:hAnsi="Arial" w:cs="Arial"/>
          <w:sz w:val="20"/>
          <w:szCs w:val="20"/>
        </w:rPr>
      </w:pPr>
      <w:r>
        <w:rPr>
          <w:rFonts w:ascii="Arial" w:hAnsi="Arial" w:cs="Arial"/>
          <w:b/>
          <w:bCs/>
          <w:sz w:val="20"/>
          <w:szCs w:val="20"/>
        </w:rPr>
        <w:t>Udeležba</w:t>
      </w:r>
      <w:r>
        <w:rPr>
          <w:rFonts w:ascii="Arial" w:hAnsi="Arial" w:cs="Arial"/>
          <w:sz w:val="20"/>
          <w:szCs w:val="20"/>
        </w:rPr>
        <w:t xml:space="preserve">: </w:t>
      </w:r>
      <w:r>
        <w:rPr>
          <w:rFonts w:ascii="Arial" w:hAnsi="Arial" w:cs="Arial"/>
          <w:sz w:val="20"/>
          <w:szCs w:val="20"/>
        </w:rPr>
        <w:tab/>
      </w:r>
      <w:r>
        <w:rPr>
          <w:rFonts w:ascii="Arial" w:hAnsi="Arial" w:cs="Arial"/>
          <w:sz w:val="20"/>
          <w:szCs w:val="20"/>
        </w:rPr>
        <w:t xml:space="preserve">Seminar bo potekal v angleškem jeziku za največ 30 udeležencev </w:t>
      </w:r>
    </w:p>
    <w:p>
      <w:pPr>
        <w:pStyle w:val="20"/>
        <w:spacing w:line="288" w:lineRule="auto"/>
        <w:rPr>
          <w:rFonts w:ascii="Arial" w:hAnsi="Arial" w:cs="Arial"/>
          <w:b/>
          <w:bCs/>
          <w:sz w:val="20"/>
          <w:szCs w:val="20"/>
        </w:rPr>
      </w:pPr>
    </w:p>
    <w:p>
      <w:pPr>
        <w:pStyle w:val="20"/>
        <w:tabs>
          <w:tab w:val="left" w:pos="1701"/>
        </w:tabs>
        <w:spacing w:line="288" w:lineRule="auto"/>
        <w:ind w:left="1695" w:hanging="1695"/>
        <w:rPr>
          <w:rFonts w:ascii="Arial" w:hAnsi="Arial" w:cs="Arial"/>
          <w:bCs/>
          <w:color w:val="auto"/>
          <w:sz w:val="20"/>
          <w:szCs w:val="20"/>
        </w:rPr>
      </w:pPr>
      <w:r>
        <w:rPr>
          <w:rFonts w:ascii="Arial" w:hAnsi="Arial" w:cs="Arial"/>
          <w:b/>
          <w:bCs/>
          <w:sz w:val="20"/>
          <w:szCs w:val="20"/>
        </w:rPr>
        <w:t xml:space="preserve">Registracija: </w:t>
      </w:r>
      <w:r>
        <w:rPr>
          <w:rFonts w:ascii="Arial" w:hAnsi="Arial" w:cs="Arial"/>
          <w:b/>
          <w:bCs/>
          <w:sz w:val="20"/>
          <w:szCs w:val="20"/>
        </w:rPr>
        <w:tab/>
      </w:r>
      <w:r>
        <w:rPr>
          <w:rFonts w:ascii="Arial" w:hAnsi="Arial" w:cs="Arial"/>
          <w:bCs/>
          <w:color w:val="auto"/>
          <w:sz w:val="20"/>
          <w:szCs w:val="20"/>
        </w:rPr>
        <w:tab/>
      </w:r>
      <w:r>
        <w:rPr>
          <w:rFonts w:ascii="Arial" w:hAnsi="Arial" w:cs="Arial"/>
          <w:bCs/>
          <w:color w:val="auto"/>
          <w:sz w:val="20"/>
          <w:szCs w:val="20"/>
        </w:rPr>
        <w:t xml:space="preserve">Ministrstvo za finance, </w:t>
      </w:r>
      <w:r>
        <w:rPr>
          <w:rFonts w:ascii="Arial" w:hAnsi="Arial" w:cs="Arial"/>
          <w:color w:val="auto"/>
          <w:sz w:val="20"/>
          <w:szCs w:val="20"/>
          <w:u w:val="single"/>
        </w:rPr>
        <w:t>do 2.februarja 2024</w:t>
      </w:r>
    </w:p>
    <w:p>
      <w:pPr>
        <w:pStyle w:val="20"/>
        <w:tabs>
          <w:tab w:val="left" w:pos="1701"/>
        </w:tabs>
        <w:spacing w:line="288" w:lineRule="auto"/>
        <w:ind w:left="1695" w:hanging="1695"/>
        <w:rPr>
          <w:rFonts w:ascii="Arial" w:hAnsi="Arial" w:cs="Arial"/>
          <w:bCs/>
          <w:color w:val="auto"/>
          <w:sz w:val="20"/>
          <w:szCs w:val="20"/>
        </w:rPr>
      </w:pPr>
      <w:r>
        <w:rPr>
          <w:rFonts w:ascii="Arial" w:hAnsi="Arial" w:cs="Arial"/>
          <w:b/>
          <w:bCs/>
          <w:sz w:val="20"/>
          <w:szCs w:val="20"/>
        </w:rPr>
        <w:tab/>
      </w:r>
      <w:r>
        <w:rPr>
          <w:rFonts w:ascii="Arial" w:hAnsi="Arial" w:cs="Arial"/>
          <w:bCs/>
          <w:color w:val="auto"/>
          <w:sz w:val="20"/>
          <w:szCs w:val="20"/>
        </w:rPr>
        <w:t xml:space="preserve">preko e-naslova: </w:t>
      </w:r>
      <w:r>
        <w:rPr>
          <w:rFonts w:ascii="Arial" w:hAnsi="Arial" w:cs="Arial"/>
          <w:bCs/>
          <w:color w:val="0000FF"/>
          <w:sz w:val="20"/>
          <w:szCs w:val="20"/>
        </w:rPr>
        <w:t>barbara.knapic@gov.si</w:t>
      </w:r>
      <w:r>
        <w:rPr>
          <w:rFonts w:ascii="Arial" w:hAnsi="Arial" w:cs="Arial"/>
          <w:bCs/>
          <w:color w:val="auto"/>
          <w:sz w:val="20"/>
          <w:szCs w:val="20"/>
        </w:rPr>
        <w:t xml:space="preserve">  ali telefona: 01 369 6681  </w:t>
      </w:r>
    </w:p>
    <w:p>
      <w:pPr>
        <w:pStyle w:val="20"/>
        <w:tabs>
          <w:tab w:val="left" w:pos="1701"/>
        </w:tabs>
        <w:spacing w:line="288" w:lineRule="auto"/>
        <w:ind w:left="1695" w:hanging="1695"/>
        <w:rPr>
          <w:rFonts w:ascii="Arial" w:hAnsi="Arial" w:cs="Arial"/>
          <w:b/>
          <w:bCs/>
          <w:sz w:val="20"/>
          <w:szCs w:val="20"/>
        </w:rPr>
      </w:pPr>
      <w:r>
        <w:rPr>
          <w:rFonts w:ascii="Arial" w:hAnsi="Arial" w:cs="Arial"/>
          <w:bCs/>
          <w:sz w:val="20"/>
          <w:szCs w:val="20"/>
        </w:rPr>
        <w:tab/>
      </w:r>
    </w:p>
    <w:p>
      <w:pPr>
        <w:pStyle w:val="20"/>
        <w:tabs>
          <w:tab w:val="left" w:pos="1701"/>
        </w:tabs>
        <w:spacing w:line="288" w:lineRule="auto"/>
        <w:rPr>
          <w:rFonts w:ascii="Arial" w:hAnsi="Arial" w:cs="Arial"/>
          <w:sz w:val="20"/>
          <w:szCs w:val="20"/>
        </w:rPr>
      </w:pPr>
      <w:r>
        <w:rPr>
          <w:rFonts w:ascii="Arial" w:hAnsi="Arial" w:cs="Arial"/>
          <w:b/>
          <w:bCs/>
          <w:sz w:val="20"/>
          <w:szCs w:val="20"/>
        </w:rPr>
        <w:t xml:space="preserve">Prijavnina: </w:t>
      </w:r>
      <w:r>
        <w:rPr>
          <w:rFonts w:ascii="Arial" w:hAnsi="Arial" w:cs="Arial"/>
          <w:b/>
          <w:bCs/>
          <w:sz w:val="20"/>
          <w:szCs w:val="20"/>
        </w:rPr>
        <w:tab/>
      </w:r>
      <w:r>
        <w:rPr>
          <w:rFonts w:ascii="Arial" w:hAnsi="Arial" w:cs="Arial"/>
          <w:sz w:val="20"/>
          <w:szCs w:val="20"/>
        </w:rPr>
        <w:t>S</w:t>
      </w:r>
      <w:r>
        <w:rPr>
          <w:rFonts w:ascii="Arial" w:hAnsi="Arial" w:cs="Arial"/>
          <w:bCs/>
          <w:sz w:val="20"/>
          <w:szCs w:val="20"/>
        </w:rPr>
        <w:t>eminar je brezplačen.</w:t>
      </w:r>
    </w:p>
    <w:p>
      <w:pPr>
        <w:pStyle w:val="20"/>
        <w:spacing w:line="288" w:lineRule="auto"/>
        <w:jc w:val="center"/>
        <w:rPr>
          <w:rFonts w:ascii="Arial" w:hAnsi="Arial" w:cs="Arial"/>
          <w:sz w:val="20"/>
          <w:szCs w:val="20"/>
        </w:rPr>
      </w:pPr>
    </w:p>
    <w:p>
      <w:pPr>
        <w:pStyle w:val="20"/>
        <w:spacing w:line="288" w:lineRule="auto"/>
        <w:jc w:val="both"/>
        <w:rPr>
          <w:rFonts w:ascii="Arial" w:hAnsi="Arial" w:cs="Arial"/>
          <w:sz w:val="20"/>
          <w:szCs w:val="20"/>
        </w:rPr>
      </w:pPr>
      <w:r>
        <w:rPr>
          <w:rFonts w:ascii="Arial" w:hAnsi="Arial" w:cs="Arial"/>
          <w:sz w:val="20"/>
          <w:szCs w:val="20"/>
        </w:rPr>
        <w:t xml:space="preserve">Za več informacij o Medameriški razvojni banki ste vabljeni k obisku spletne strani: </w:t>
      </w:r>
      <w:r>
        <w:fldChar w:fldCharType="begin"/>
      </w:r>
      <w:r>
        <w:instrText xml:space="preserve"> HYPERLINK "http://www.iadb.org" </w:instrText>
      </w:r>
      <w:r>
        <w:fldChar w:fldCharType="separate"/>
      </w:r>
      <w:r>
        <w:rPr>
          <w:rStyle w:val="14"/>
          <w:rFonts w:ascii="Arial" w:hAnsi="Arial" w:cs="Arial"/>
          <w:sz w:val="20"/>
          <w:szCs w:val="20"/>
        </w:rPr>
        <w:t>www.iadb.org</w:t>
      </w:r>
      <w:r>
        <w:rPr>
          <w:rStyle w:val="14"/>
          <w:rFonts w:ascii="Arial" w:hAnsi="Arial" w:cs="Arial"/>
          <w:sz w:val="20"/>
          <w:szCs w:val="20"/>
        </w:rPr>
        <w:fldChar w:fldCharType="end"/>
      </w:r>
      <w:r>
        <w:rPr>
          <w:rStyle w:val="14"/>
          <w:rFonts w:ascii="Arial" w:hAnsi="Arial" w:cs="Arial"/>
          <w:sz w:val="20"/>
          <w:szCs w:val="20"/>
        </w:rPr>
        <w:t>.</w:t>
      </w:r>
    </w:p>
    <w:p>
      <w:pPr>
        <w:pStyle w:val="20"/>
        <w:spacing w:line="288" w:lineRule="auto"/>
        <w:rPr>
          <w:rFonts w:ascii="Arial" w:hAnsi="Arial" w:cs="Arial"/>
          <w:b/>
          <w:color w:val="auto"/>
          <w:sz w:val="20"/>
          <w:szCs w:val="20"/>
        </w:rPr>
      </w:pPr>
    </w:p>
    <w:p>
      <w:pPr>
        <w:pStyle w:val="20"/>
        <w:spacing w:line="288" w:lineRule="auto"/>
      </w:pPr>
      <w:r>
        <w:rPr>
          <w:rFonts w:ascii="Arial" w:hAnsi="Arial" w:cs="Arial"/>
          <w:b/>
          <w:color w:val="auto"/>
          <w:sz w:val="20"/>
          <w:szCs w:val="20"/>
        </w:rPr>
        <w:t>Prijazno vabljeni k udeležbi!</w:t>
      </w:r>
    </w:p>
    <w:p>
      <w:pPr>
        <w:spacing w:line="240" w:lineRule="auto"/>
        <w:rPr>
          <w:b/>
          <w:bCs/>
          <w:lang w:val="sl-SI" w:eastAsia="sl-SI"/>
        </w:rPr>
      </w:pPr>
      <w:r>
        <w:rPr>
          <w:lang w:val="sl-SI" w:eastAsia="sl-SI"/>
        </w:rPr>
        <w:br w:type="page"/>
      </w:r>
      <w:r>
        <w:rPr>
          <w:b/>
          <w:bCs/>
          <w:lang w:val="sl-SI" w:eastAsia="sl-SI"/>
        </w:rPr>
        <w:t>OSNUTEK PROGRAMA</w:t>
      </w:r>
    </w:p>
    <w:p>
      <w:pPr>
        <w:rPr>
          <w:b/>
          <w:bCs/>
          <w:lang w:val="sl-SI" w:eastAsia="sl-SI"/>
        </w:rPr>
      </w:pPr>
    </w:p>
    <w:p>
      <w:pPr>
        <w:pStyle w:val="20"/>
        <w:spacing w:line="288" w:lineRule="auto"/>
        <w:jc w:val="both"/>
        <w:rPr>
          <w:rFonts w:ascii="Arial" w:hAnsi="Arial" w:cs="Arial"/>
          <w:sz w:val="20"/>
          <w:szCs w:val="20"/>
        </w:rPr>
      </w:pPr>
      <w:r>
        <w:rPr>
          <w:rFonts w:ascii="Arial" w:hAnsi="Arial" w:cs="Arial"/>
          <w:sz w:val="20"/>
          <w:szCs w:val="20"/>
        </w:rPr>
        <w:t>Seje bodo interaktivne, dnevni red pa bo predvidoma obsegal:</w:t>
      </w:r>
    </w:p>
    <w:p>
      <w:pPr>
        <w:pStyle w:val="20"/>
        <w:spacing w:line="288" w:lineRule="auto"/>
        <w:jc w:val="both"/>
        <w:rPr>
          <w:rFonts w:ascii="Arial" w:hAnsi="Arial" w:cs="Arial"/>
          <w:sz w:val="20"/>
          <w:szCs w:val="20"/>
        </w:rPr>
      </w:pPr>
    </w:p>
    <w:p>
      <w:pPr>
        <w:pStyle w:val="20"/>
        <w:spacing w:line="288" w:lineRule="auto"/>
        <w:jc w:val="both"/>
        <w:rPr>
          <w:rFonts w:ascii="Arial" w:hAnsi="Arial" w:cs="Arial"/>
          <w:b/>
          <w:bCs/>
          <w:sz w:val="20"/>
          <w:szCs w:val="20"/>
          <w:u w:val="single"/>
        </w:rPr>
      </w:pPr>
      <w:r>
        <w:rPr>
          <w:rFonts w:ascii="Arial" w:hAnsi="Arial" w:cs="Arial"/>
          <w:b/>
          <w:bCs/>
          <w:sz w:val="20"/>
          <w:szCs w:val="20"/>
          <w:u w:val="single"/>
        </w:rPr>
        <w:t>6. februar 2024</w:t>
      </w:r>
    </w:p>
    <w:p>
      <w:pPr>
        <w:pStyle w:val="20"/>
        <w:spacing w:line="288" w:lineRule="auto"/>
        <w:jc w:val="both"/>
        <w:rPr>
          <w:rFonts w:ascii="Arial" w:hAnsi="Arial" w:cs="Arial"/>
          <w:sz w:val="20"/>
          <w:szCs w:val="20"/>
        </w:rPr>
      </w:pPr>
    </w:p>
    <w:tbl>
      <w:tblPr>
        <w:tblStyle w:val="4"/>
        <w:tblW w:w="8638" w:type="dxa"/>
        <w:tblInd w:w="0" w:type="dxa"/>
        <w:tblLayout w:type="autofit"/>
        <w:tblCellMar>
          <w:top w:w="0" w:type="dxa"/>
          <w:left w:w="108" w:type="dxa"/>
          <w:bottom w:w="0" w:type="dxa"/>
          <w:right w:w="108" w:type="dxa"/>
        </w:tblCellMar>
      </w:tblPr>
      <w:tblGrid>
        <w:gridCol w:w="1608"/>
        <w:gridCol w:w="7030"/>
      </w:tblGrid>
      <w:tr>
        <w:tblPrEx>
          <w:tblCellMar>
            <w:top w:w="0" w:type="dxa"/>
            <w:left w:w="108" w:type="dxa"/>
            <w:bottom w:w="0" w:type="dxa"/>
            <w:right w:w="108" w:type="dxa"/>
          </w:tblCellMar>
        </w:tblPrEx>
        <w:tc>
          <w:tcPr>
            <w:tcW w:w="1608" w:type="dxa"/>
            <w:shd w:val="clear" w:color="auto" w:fill="E6E6E6"/>
          </w:tcPr>
          <w:p>
            <w:pPr>
              <w:pStyle w:val="20"/>
              <w:rPr>
                <w:rFonts w:ascii="Arial" w:hAnsi="Arial" w:cs="Arial"/>
                <w:color w:val="auto"/>
                <w:sz w:val="20"/>
                <w:szCs w:val="20"/>
              </w:rPr>
            </w:pPr>
            <w:r>
              <w:rPr>
                <w:rFonts w:ascii="Arial" w:hAnsi="Arial" w:cs="Arial"/>
                <w:color w:val="auto"/>
                <w:sz w:val="20"/>
                <w:szCs w:val="20"/>
              </w:rPr>
              <w:t>14.00 – 14.15</w:t>
            </w:r>
          </w:p>
        </w:tc>
        <w:tc>
          <w:tcPr>
            <w:tcW w:w="7030" w:type="dxa"/>
            <w:shd w:val="clear" w:color="auto" w:fill="E6E6E6"/>
          </w:tcPr>
          <w:p>
            <w:pPr>
              <w:pStyle w:val="20"/>
              <w:rPr>
                <w:rFonts w:ascii="Arial" w:hAnsi="Arial" w:cs="Arial"/>
                <w:color w:val="auto"/>
                <w:sz w:val="20"/>
                <w:szCs w:val="20"/>
              </w:rPr>
            </w:pPr>
            <w:r>
              <w:rPr>
                <w:rFonts w:ascii="Arial" w:hAnsi="Arial" w:cs="Arial"/>
                <w:color w:val="auto"/>
                <w:sz w:val="20"/>
                <w:szCs w:val="20"/>
              </w:rPr>
              <w:t>Registracija</w:t>
            </w:r>
          </w:p>
        </w:tc>
      </w:tr>
      <w:tr>
        <w:tblPrEx>
          <w:tblCellMar>
            <w:top w:w="0" w:type="dxa"/>
            <w:left w:w="108" w:type="dxa"/>
            <w:bottom w:w="0" w:type="dxa"/>
            <w:right w:w="108" w:type="dxa"/>
          </w:tblCellMar>
        </w:tblPrEx>
        <w:tc>
          <w:tcPr>
            <w:tcW w:w="1608" w:type="dxa"/>
            <w:shd w:val="clear" w:color="auto" w:fill="auto"/>
          </w:tcPr>
          <w:p>
            <w:pPr>
              <w:pStyle w:val="20"/>
              <w:rPr>
                <w:rFonts w:ascii="Arial" w:hAnsi="Arial" w:cs="Arial"/>
                <w:color w:val="auto"/>
                <w:sz w:val="20"/>
                <w:szCs w:val="20"/>
              </w:rPr>
            </w:pPr>
          </w:p>
          <w:p>
            <w:pPr>
              <w:pStyle w:val="20"/>
              <w:rPr>
                <w:rFonts w:ascii="Arial" w:hAnsi="Arial" w:cs="Arial"/>
                <w:color w:val="auto"/>
                <w:sz w:val="20"/>
                <w:szCs w:val="20"/>
              </w:rPr>
            </w:pPr>
            <w:r>
              <w:rPr>
                <w:rFonts w:ascii="Arial" w:hAnsi="Arial" w:cs="Arial"/>
                <w:color w:val="auto"/>
                <w:sz w:val="20"/>
                <w:szCs w:val="20"/>
              </w:rPr>
              <w:t>14.15 – 14.25</w:t>
            </w:r>
          </w:p>
        </w:tc>
        <w:tc>
          <w:tcPr>
            <w:tcW w:w="7030" w:type="dxa"/>
            <w:shd w:val="clear" w:color="auto" w:fill="auto"/>
          </w:tcPr>
          <w:p>
            <w:pPr>
              <w:pStyle w:val="20"/>
              <w:rPr>
                <w:rFonts w:ascii="Arial" w:hAnsi="Arial" w:cs="Arial"/>
                <w:b/>
                <w:color w:val="000080"/>
                <w:sz w:val="20"/>
                <w:szCs w:val="20"/>
              </w:rPr>
            </w:pPr>
          </w:p>
          <w:p>
            <w:pPr>
              <w:pStyle w:val="20"/>
              <w:rPr>
                <w:rFonts w:ascii="Arial" w:hAnsi="Arial" w:cs="Arial"/>
                <w:b/>
                <w:color w:val="000080"/>
                <w:sz w:val="20"/>
                <w:szCs w:val="20"/>
              </w:rPr>
            </w:pPr>
            <w:r>
              <w:rPr>
                <w:rFonts w:ascii="Arial" w:hAnsi="Arial" w:cs="Arial"/>
                <w:b/>
                <w:color w:val="000080"/>
                <w:sz w:val="20"/>
                <w:szCs w:val="20"/>
              </w:rPr>
              <w:t xml:space="preserve">UVODNI NAGOVORI </w:t>
            </w:r>
          </w:p>
          <w:p>
            <w:pPr>
              <w:pStyle w:val="20"/>
              <w:rPr>
                <w:rFonts w:ascii="Arial" w:hAnsi="Arial" w:cs="Arial"/>
                <w:i/>
                <w:color w:val="auto"/>
                <w:sz w:val="20"/>
                <w:szCs w:val="20"/>
              </w:rPr>
            </w:pPr>
            <w:r>
              <w:rPr>
                <w:rFonts w:ascii="Arial" w:hAnsi="Arial" w:cs="Arial"/>
                <w:i/>
                <w:color w:val="auto"/>
                <w:sz w:val="20"/>
                <w:szCs w:val="20"/>
              </w:rPr>
              <w:t>Sanja Štiglic, državna sekretarka na Ministrstvu za zunanje in evropske zadeve</w:t>
            </w:r>
          </w:p>
        </w:tc>
      </w:tr>
      <w:tr>
        <w:tblPrEx>
          <w:tblCellMar>
            <w:top w:w="0" w:type="dxa"/>
            <w:left w:w="108" w:type="dxa"/>
            <w:bottom w:w="0" w:type="dxa"/>
            <w:right w:w="108" w:type="dxa"/>
          </w:tblCellMar>
        </w:tblPrEx>
        <w:tc>
          <w:tcPr>
            <w:tcW w:w="1608" w:type="dxa"/>
            <w:shd w:val="clear" w:color="auto" w:fill="auto"/>
          </w:tcPr>
          <w:p>
            <w:pPr>
              <w:pStyle w:val="20"/>
              <w:rPr>
                <w:rFonts w:ascii="Arial" w:hAnsi="Arial" w:cs="Arial"/>
                <w:color w:val="auto"/>
                <w:sz w:val="20"/>
                <w:szCs w:val="20"/>
              </w:rPr>
            </w:pPr>
          </w:p>
          <w:p>
            <w:pPr>
              <w:pStyle w:val="20"/>
              <w:rPr>
                <w:rFonts w:ascii="Arial" w:hAnsi="Arial" w:cs="Arial"/>
                <w:color w:val="auto"/>
                <w:sz w:val="20"/>
                <w:szCs w:val="20"/>
              </w:rPr>
            </w:pPr>
            <w:r>
              <w:rPr>
                <w:rFonts w:ascii="Arial" w:hAnsi="Arial" w:cs="Arial"/>
                <w:color w:val="auto"/>
                <w:sz w:val="20"/>
                <w:szCs w:val="20"/>
              </w:rPr>
              <w:t>14.25 – 14.45</w:t>
            </w:r>
          </w:p>
        </w:tc>
        <w:tc>
          <w:tcPr>
            <w:tcW w:w="7030" w:type="dxa"/>
            <w:shd w:val="clear" w:color="auto" w:fill="auto"/>
          </w:tcPr>
          <w:p>
            <w:pPr>
              <w:pStyle w:val="20"/>
              <w:rPr>
                <w:rFonts w:ascii="Arial" w:hAnsi="Arial" w:cs="Arial"/>
                <w:b/>
                <w:color w:val="000080"/>
                <w:sz w:val="20"/>
                <w:szCs w:val="20"/>
              </w:rPr>
            </w:pPr>
          </w:p>
          <w:p>
            <w:pPr>
              <w:pStyle w:val="20"/>
              <w:rPr>
                <w:rFonts w:ascii="Arial" w:hAnsi="Arial" w:cs="Arial"/>
                <w:b/>
                <w:color w:val="000080"/>
                <w:sz w:val="20"/>
                <w:szCs w:val="20"/>
              </w:rPr>
            </w:pPr>
            <w:r>
              <w:rPr>
                <w:rFonts w:ascii="Arial" w:hAnsi="Arial" w:cs="Arial"/>
                <w:b/>
                <w:color w:val="000080"/>
                <w:sz w:val="20"/>
                <w:szCs w:val="20"/>
              </w:rPr>
              <w:t xml:space="preserve">PREGLED SKUPINE IDB  - Strategija IDB: Operacije, znanje in partnerstva </w:t>
            </w:r>
          </w:p>
          <w:p>
            <w:pPr>
              <w:pStyle w:val="20"/>
              <w:rPr>
                <w:rFonts w:ascii="Arial" w:hAnsi="Arial" w:cs="Arial"/>
                <w:i/>
                <w:color w:val="auto"/>
                <w:sz w:val="20"/>
                <w:szCs w:val="20"/>
              </w:rPr>
            </w:pPr>
            <w:r>
              <w:rPr>
                <w:rFonts w:ascii="Arial" w:hAnsi="Arial" w:cs="Arial"/>
                <w:i/>
                <w:color w:val="auto"/>
                <w:sz w:val="20"/>
                <w:szCs w:val="20"/>
              </w:rPr>
              <w:t>Matías BENDERSKY, vodja pisarne za partnerstva, IDB</w:t>
            </w:r>
          </w:p>
          <w:p>
            <w:pPr>
              <w:pStyle w:val="20"/>
              <w:rPr>
                <w:rFonts w:ascii="Arial" w:hAnsi="Arial" w:cs="Arial"/>
                <w:i/>
                <w:color w:val="auto"/>
                <w:sz w:val="20"/>
                <w:szCs w:val="20"/>
              </w:rPr>
            </w:pPr>
            <w:r>
              <w:rPr>
                <w:rFonts w:ascii="Arial" w:hAnsi="Arial" w:cs="Arial"/>
                <w:i/>
                <w:color w:val="auto"/>
                <w:sz w:val="20"/>
                <w:szCs w:val="20"/>
              </w:rPr>
              <w:t>Fazia PUSTERLA, predstavništvo IDB v Evropi</w:t>
            </w:r>
          </w:p>
        </w:tc>
      </w:tr>
      <w:tr>
        <w:tblPrEx>
          <w:tblCellMar>
            <w:top w:w="0" w:type="dxa"/>
            <w:left w:w="108" w:type="dxa"/>
            <w:bottom w:w="0" w:type="dxa"/>
            <w:right w:w="108" w:type="dxa"/>
          </w:tblCellMar>
        </w:tblPrEx>
        <w:tc>
          <w:tcPr>
            <w:tcW w:w="1608" w:type="dxa"/>
            <w:shd w:val="clear" w:color="auto" w:fill="auto"/>
          </w:tcPr>
          <w:p>
            <w:pPr>
              <w:pStyle w:val="20"/>
              <w:rPr>
                <w:rFonts w:ascii="Arial" w:hAnsi="Arial" w:cs="Arial"/>
                <w:color w:val="auto"/>
                <w:sz w:val="20"/>
                <w:szCs w:val="20"/>
              </w:rPr>
            </w:pPr>
          </w:p>
          <w:p>
            <w:pPr>
              <w:pStyle w:val="20"/>
              <w:rPr>
                <w:rFonts w:ascii="Arial" w:hAnsi="Arial" w:cs="Arial"/>
                <w:color w:val="auto"/>
                <w:sz w:val="20"/>
                <w:szCs w:val="20"/>
              </w:rPr>
            </w:pPr>
            <w:r>
              <w:rPr>
                <w:rFonts w:ascii="Arial" w:hAnsi="Arial" w:cs="Arial"/>
                <w:color w:val="auto"/>
                <w:sz w:val="20"/>
                <w:szCs w:val="20"/>
              </w:rPr>
              <w:t>14.45 – 16.15</w:t>
            </w:r>
          </w:p>
        </w:tc>
        <w:tc>
          <w:tcPr>
            <w:tcW w:w="7030" w:type="dxa"/>
            <w:shd w:val="clear" w:color="auto" w:fill="auto"/>
          </w:tcPr>
          <w:p>
            <w:pPr>
              <w:pStyle w:val="20"/>
              <w:rPr>
                <w:rFonts w:ascii="Arial" w:hAnsi="Arial" w:cs="Arial"/>
                <w:b/>
                <w:color w:val="000080"/>
                <w:sz w:val="20"/>
                <w:szCs w:val="20"/>
              </w:rPr>
            </w:pPr>
          </w:p>
          <w:p>
            <w:pPr>
              <w:pStyle w:val="20"/>
              <w:rPr>
                <w:rFonts w:ascii="Arial" w:hAnsi="Arial" w:cs="Arial"/>
                <w:b/>
                <w:color w:val="000080"/>
                <w:sz w:val="20"/>
                <w:szCs w:val="20"/>
              </w:rPr>
            </w:pPr>
            <w:r>
              <w:rPr>
                <w:rFonts w:ascii="Arial" w:hAnsi="Arial" w:cs="Arial"/>
                <w:b/>
                <w:color w:val="000080"/>
                <w:sz w:val="20"/>
                <w:szCs w:val="20"/>
              </w:rPr>
              <w:t xml:space="preserve">IDB na kratko - Poslovne priložnosti za slovenska podjetja </w:t>
            </w:r>
          </w:p>
          <w:p>
            <w:pPr>
              <w:pStyle w:val="20"/>
              <w:rPr>
                <w:rFonts w:ascii="Arial" w:hAnsi="Arial" w:cs="Arial"/>
                <w:bCs/>
                <w:i/>
                <w:iCs/>
                <w:color w:val="auto"/>
                <w:sz w:val="20"/>
                <w:szCs w:val="20"/>
              </w:rPr>
            </w:pPr>
          </w:p>
          <w:p>
            <w:pPr>
              <w:pStyle w:val="20"/>
              <w:rPr>
                <w:rFonts w:ascii="Arial" w:hAnsi="Arial" w:cs="Arial"/>
                <w:b/>
                <w:i/>
                <w:iCs/>
                <w:color w:val="203864" w:themeColor="accent1" w:themeShade="80"/>
                <w:sz w:val="20"/>
                <w:szCs w:val="20"/>
              </w:rPr>
            </w:pPr>
            <w:r>
              <w:rPr>
                <w:rFonts w:ascii="Arial" w:hAnsi="Arial" w:cs="Arial"/>
                <w:b/>
                <w:i/>
                <w:iCs/>
                <w:color w:val="203864" w:themeColor="accent1" w:themeShade="80"/>
                <w:sz w:val="20"/>
                <w:szCs w:val="20"/>
              </w:rPr>
              <w:t>Prakse naročanja IDB (vključno z lastnimi naročili IDB), 30'</w:t>
            </w:r>
          </w:p>
          <w:p>
            <w:pPr>
              <w:pStyle w:val="20"/>
              <w:rPr>
                <w:rFonts w:ascii="Arial" w:hAnsi="Arial" w:cs="Arial"/>
                <w:bCs/>
                <w:i/>
                <w:iCs/>
                <w:color w:val="000080"/>
                <w:sz w:val="20"/>
                <w:szCs w:val="20"/>
              </w:rPr>
            </w:pPr>
            <w:r>
              <w:rPr>
                <w:rFonts w:ascii="Arial" w:hAnsi="Arial" w:cs="Arial"/>
                <w:bCs/>
                <w:i/>
                <w:iCs/>
                <w:color w:val="auto"/>
                <w:sz w:val="20"/>
                <w:szCs w:val="20"/>
              </w:rPr>
              <w:t>Edwin TACHLIAN-DEGRAS, strokovnjak za fiduciarne zadeve, IDB</w:t>
            </w:r>
          </w:p>
        </w:tc>
      </w:tr>
    </w:tbl>
    <w:p>
      <w:pPr>
        <w:rPr>
          <w:lang w:val="sl-SI" w:eastAsia="sl-SI"/>
        </w:rPr>
      </w:pPr>
    </w:p>
    <w:tbl>
      <w:tblPr>
        <w:tblStyle w:val="4"/>
        <w:tblW w:w="8638" w:type="dxa"/>
        <w:tblInd w:w="0" w:type="dxa"/>
        <w:tblLayout w:type="autofit"/>
        <w:tblCellMar>
          <w:top w:w="0" w:type="dxa"/>
          <w:left w:w="108" w:type="dxa"/>
          <w:bottom w:w="0" w:type="dxa"/>
          <w:right w:w="108" w:type="dxa"/>
        </w:tblCellMar>
      </w:tblPr>
      <w:tblGrid>
        <w:gridCol w:w="1608"/>
        <w:gridCol w:w="7030"/>
      </w:tblGrid>
      <w:tr>
        <w:tblPrEx>
          <w:tblCellMar>
            <w:top w:w="0" w:type="dxa"/>
            <w:left w:w="108" w:type="dxa"/>
            <w:bottom w:w="0" w:type="dxa"/>
            <w:right w:w="108" w:type="dxa"/>
          </w:tblCellMar>
        </w:tblPrEx>
        <w:tc>
          <w:tcPr>
            <w:tcW w:w="1608" w:type="dxa"/>
            <w:shd w:val="clear" w:color="auto" w:fill="auto"/>
          </w:tcPr>
          <w:p>
            <w:pPr>
              <w:pStyle w:val="20"/>
              <w:rPr>
                <w:rFonts w:ascii="Arial" w:hAnsi="Arial" w:cs="Arial"/>
                <w:color w:val="auto"/>
                <w:sz w:val="20"/>
                <w:szCs w:val="20"/>
              </w:rPr>
            </w:pPr>
          </w:p>
          <w:p>
            <w:pPr>
              <w:pStyle w:val="20"/>
              <w:rPr>
                <w:rFonts w:ascii="Arial" w:hAnsi="Arial" w:cs="Arial"/>
                <w:color w:val="auto"/>
                <w:sz w:val="20"/>
                <w:szCs w:val="20"/>
              </w:rPr>
            </w:pPr>
          </w:p>
        </w:tc>
        <w:tc>
          <w:tcPr>
            <w:tcW w:w="7030" w:type="dxa"/>
            <w:shd w:val="clear" w:color="auto" w:fill="auto"/>
          </w:tcPr>
          <w:p>
            <w:pPr>
              <w:pStyle w:val="20"/>
              <w:rPr>
                <w:rFonts w:ascii="Arial" w:hAnsi="Arial" w:cs="Arial"/>
                <w:b/>
                <w:i/>
                <w:iCs/>
                <w:color w:val="203864" w:themeColor="accent1" w:themeShade="80"/>
                <w:sz w:val="20"/>
                <w:szCs w:val="20"/>
              </w:rPr>
            </w:pPr>
            <w:r>
              <w:rPr>
                <w:rFonts w:ascii="Arial" w:hAnsi="Arial" w:cs="Arial"/>
                <w:b/>
                <w:i/>
                <w:iCs/>
                <w:color w:val="203864" w:themeColor="accent1" w:themeShade="80"/>
                <w:sz w:val="20"/>
                <w:szCs w:val="20"/>
              </w:rPr>
              <w:t>Delovanje IDB na področju kibernetske varnosti in digitalizacije državne uprave, 10'</w:t>
            </w:r>
          </w:p>
          <w:p>
            <w:pPr>
              <w:pStyle w:val="20"/>
              <w:rPr>
                <w:rFonts w:ascii="Arial" w:hAnsi="Arial" w:cs="Arial"/>
                <w:bCs/>
                <w:i/>
                <w:iCs/>
                <w:color w:val="000080"/>
                <w:sz w:val="20"/>
                <w:szCs w:val="20"/>
              </w:rPr>
            </w:pPr>
            <w:r>
              <w:rPr>
                <w:rFonts w:ascii="Arial" w:hAnsi="Arial" w:cs="Arial"/>
                <w:bCs/>
                <w:i/>
                <w:iCs/>
                <w:color w:val="auto"/>
                <w:sz w:val="20"/>
                <w:szCs w:val="20"/>
              </w:rPr>
              <w:t>Miguel PORRUA, glavni strokovnjak za digitalno vlado, IDB</w:t>
            </w:r>
          </w:p>
        </w:tc>
      </w:tr>
      <w:tr>
        <w:tblPrEx>
          <w:tblCellMar>
            <w:top w:w="0" w:type="dxa"/>
            <w:left w:w="108" w:type="dxa"/>
            <w:bottom w:w="0" w:type="dxa"/>
            <w:right w:w="108" w:type="dxa"/>
          </w:tblCellMar>
        </w:tblPrEx>
        <w:tc>
          <w:tcPr>
            <w:tcW w:w="1608" w:type="dxa"/>
            <w:shd w:val="clear" w:color="auto" w:fill="auto"/>
          </w:tcPr>
          <w:p>
            <w:pPr>
              <w:pStyle w:val="20"/>
              <w:rPr>
                <w:rFonts w:ascii="Arial" w:hAnsi="Arial" w:cs="Arial"/>
                <w:color w:val="auto"/>
                <w:sz w:val="20"/>
                <w:szCs w:val="20"/>
              </w:rPr>
            </w:pPr>
          </w:p>
          <w:p>
            <w:pPr>
              <w:pStyle w:val="20"/>
              <w:rPr>
                <w:rFonts w:ascii="Arial" w:hAnsi="Arial" w:cs="Arial"/>
                <w:color w:val="auto"/>
                <w:sz w:val="20"/>
                <w:szCs w:val="20"/>
              </w:rPr>
            </w:pPr>
          </w:p>
        </w:tc>
        <w:tc>
          <w:tcPr>
            <w:tcW w:w="7030" w:type="dxa"/>
            <w:shd w:val="clear" w:color="auto" w:fill="auto"/>
          </w:tcPr>
          <w:p>
            <w:pPr>
              <w:pStyle w:val="20"/>
              <w:rPr>
                <w:rFonts w:ascii="Arial" w:hAnsi="Arial" w:cs="Arial"/>
                <w:b/>
                <w:i/>
                <w:iCs/>
                <w:color w:val="203864" w:themeColor="accent1" w:themeShade="80"/>
                <w:sz w:val="20"/>
                <w:szCs w:val="20"/>
              </w:rPr>
            </w:pPr>
          </w:p>
          <w:p>
            <w:pPr>
              <w:pStyle w:val="20"/>
              <w:rPr>
                <w:rFonts w:ascii="Arial" w:hAnsi="Arial" w:cs="Arial"/>
                <w:b/>
                <w:i/>
                <w:iCs/>
                <w:color w:val="203864" w:themeColor="accent1" w:themeShade="80"/>
                <w:sz w:val="20"/>
                <w:szCs w:val="20"/>
              </w:rPr>
            </w:pPr>
            <w:r>
              <w:rPr>
                <w:rFonts w:ascii="Arial" w:hAnsi="Arial" w:cs="Arial"/>
                <w:b/>
                <w:i/>
                <w:iCs/>
                <w:color w:val="203864" w:themeColor="accent1" w:themeShade="80"/>
                <w:sz w:val="20"/>
                <w:szCs w:val="20"/>
              </w:rPr>
              <w:t>Delovanje IDB na področju voda in odpadnih voda, 10'</w:t>
            </w:r>
          </w:p>
          <w:p>
            <w:pPr>
              <w:pStyle w:val="20"/>
              <w:rPr>
                <w:rFonts w:ascii="Arial" w:hAnsi="Arial" w:cs="Arial"/>
                <w:b/>
                <w:i/>
                <w:iCs/>
                <w:color w:val="203864" w:themeColor="accent1" w:themeShade="80"/>
                <w:sz w:val="20"/>
                <w:szCs w:val="20"/>
              </w:rPr>
            </w:pPr>
            <w:r>
              <w:rPr>
                <w:rFonts w:ascii="Arial" w:hAnsi="Arial" w:cs="Arial"/>
                <w:bCs/>
                <w:i/>
                <w:iCs/>
                <w:color w:val="auto"/>
                <w:sz w:val="20"/>
                <w:szCs w:val="20"/>
              </w:rPr>
              <w:t>Manuela VELASQUEZ, višja strokovnjakinja za vodo in sanitetno vodo, IDB</w:t>
            </w:r>
            <w:r>
              <w:rPr>
                <w:rFonts w:ascii="Arial" w:hAnsi="Arial" w:cs="Arial"/>
                <w:b/>
                <w:i/>
                <w:iCs/>
                <w:color w:val="203864" w:themeColor="accent1" w:themeShade="80"/>
                <w:sz w:val="20"/>
                <w:szCs w:val="20"/>
              </w:rPr>
              <w:t xml:space="preserve"> </w:t>
            </w:r>
          </w:p>
          <w:p>
            <w:pPr>
              <w:pStyle w:val="20"/>
              <w:rPr>
                <w:rFonts w:ascii="Arial" w:hAnsi="Arial" w:cs="Arial"/>
                <w:b/>
                <w:i/>
                <w:iCs/>
                <w:color w:val="203864" w:themeColor="accent1" w:themeShade="80"/>
                <w:sz w:val="20"/>
                <w:szCs w:val="20"/>
              </w:rPr>
            </w:pPr>
          </w:p>
          <w:p>
            <w:pPr>
              <w:pStyle w:val="20"/>
              <w:rPr>
                <w:rFonts w:ascii="Arial" w:hAnsi="Arial" w:cs="Arial"/>
                <w:b/>
                <w:i/>
                <w:iCs/>
                <w:color w:val="203864" w:themeColor="accent1" w:themeShade="80"/>
                <w:sz w:val="20"/>
                <w:szCs w:val="20"/>
              </w:rPr>
            </w:pPr>
            <w:r>
              <w:rPr>
                <w:rFonts w:ascii="Arial" w:hAnsi="Arial" w:cs="Arial"/>
                <w:b/>
                <w:i/>
                <w:iCs/>
                <w:color w:val="203864" w:themeColor="accent1" w:themeShade="80"/>
                <w:sz w:val="20"/>
                <w:szCs w:val="20"/>
              </w:rPr>
              <w:t>Delovanje IDB na področju obnovljivih virov energije, 10'</w:t>
            </w:r>
          </w:p>
          <w:p>
            <w:pPr>
              <w:pStyle w:val="20"/>
              <w:rPr>
                <w:rFonts w:ascii="Arial" w:hAnsi="Arial" w:cs="Arial"/>
                <w:bCs/>
                <w:i/>
                <w:iCs/>
                <w:color w:val="203864" w:themeColor="accent1" w:themeShade="80"/>
                <w:sz w:val="20"/>
                <w:szCs w:val="20"/>
              </w:rPr>
            </w:pPr>
            <w:r>
              <w:rPr>
                <w:rFonts w:ascii="Arial" w:hAnsi="Arial" w:cs="Arial"/>
                <w:bCs/>
                <w:i/>
                <w:iCs/>
                <w:color w:val="auto"/>
                <w:sz w:val="20"/>
                <w:szCs w:val="20"/>
              </w:rPr>
              <w:t>Juan PAREDES, višji strokovnjak za čisto energijo, IDB</w:t>
            </w:r>
          </w:p>
        </w:tc>
      </w:tr>
      <w:tr>
        <w:tblPrEx>
          <w:tblCellMar>
            <w:top w:w="0" w:type="dxa"/>
            <w:left w:w="108" w:type="dxa"/>
            <w:bottom w:w="0" w:type="dxa"/>
            <w:right w:w="108" w:type="dxa"/>
          </w:tblCellMar>
        </w:tblPrEx>
        <w:tc>
          <w:tcPr>
            <w:tcW w:w="1608" w:type="dxa"/>
            <w:shd w:val="clear" w:color="auto" w:fill="auto"/>
          </w:tcPr>
          <w:p>
            <w:pPr>
              <w:pStyle w:val="20"/>
              <w:rPr>
                <w:rFonts w:ascii="Arial" w:hAnsi="Arial" w:cs="Arial"/>
                <w:color w:val="auto"/>
                <w:sz w:val="20"/>
                <w:szCs w:val="20"/>
              </w:rPr>
            </w:pPr>
          </w:p>
          <w:p>
            <w:pPr>
              <w:pStyle w:val="20"/>
              <w:rPr>
                <w:rFonts w:ascii="Arial" w:hAnsi="Arial" w:cs="Arial"/>
                <w:color w:val="auto"/>
                <w:sz w:val="20"/>
                <w:szCs w:val="20"/>
              </w:rPr>
            </w:pPr>
          </w:p>
        </w:tc>
        <w:tc>
          <w:tcPr>
            <w:tcW w:w="7030" w:type="dxa"/>
            <w:shd w:val="clear" w:color="auto" w:fill="auto"/>
          </w:tcPr>
          <w:p>
            <w:pPr>
              <w:pStyle w:val="20"/>
              <w:rPr>
                <w:rFonts w:ascii="Arial" w:hAnsi="Arial" w:cs="Arial"/>
                <w:b/>
                <w:i/>
                <w:iCs/>
                <w:color w:val="203864" w:themeColor="accent1" w:themeShade="80"/>
                <w:sz w:val="20"/>
                <w:szCs w:val="20"/>
              </w:rPr>
            </w:pPr>
          </w:p>
          <w:p>
            <w:pPr>
              <w:pStyle w:val="20"/>
              <w:rPr>
                <w:rFonts w:ascii="Arial" w:hAnsi="Arial" w:cs="Arial"/>
                <w:b/>
                <w:i/>
                <w:iCs/>
                <w:color w:val="203864" w:themeColor="accent1" w:themeShade="80"/>
                <w:sz w:val="20"/>
                <w:szCs w:val="20"/>
              </w:rPr>
            </w:pPr>
            <w:r>
              <w:rPr>
                <w:rFonts w:ascii="Arial" w:hAnsi="Arial" w:cs="Arial"/>
                <w:b/>
                <w:i/>
                <w:iCs/>
                <w:color w:val="203864" w:themeColor="accent1" w:themeShade="80"/>
                <w:sz w:val="20"/>
                <w:szCs w:val="20"/>
              </w:rPr>
              <w:t>Delovanje IDB na področju okolja in razvoja podeželja 10'</w:t>
            </w:r>
          </w:p>
          <w:p>
            <w:pPr>
              <w:pStyle w:val="20"/>
              <w:rPr>
                <w:rFonts w:ascii="Arial" w:hAnsi="Arial" w:cs="Arial"/>
                <w:bCs/>
                <w:i/>
                <w:iCs/>
                <w:color w:val="auto"/>
                <w:sz w:val="20"/>
                <w:szCs w:val="20"/>
              </w:rPr>
            </w:pPr>
            <w:r>
              <w:rPr>
                <w:rFonts w:ascii="Arial" w:hAnsi="Arial" w:cs="Arial"/>
                <w:bCs/>
                <w:i/>
                <w:iCs/>
                <w:color w:val="auto"/>
                <w:sz w:val="20"/>
                <w:szCs w:val="20"/>
              </w:rPr>
              <w:t>TBC</w:t>
            </w:r>
          </w:p>
          <w:p>
            <w:pPr>
              <w:pStyle w:val="20"/>
              <w:rPr>
                <w:rFonts w:ascii="Arial" w:hAnsi="Arial" w:cs="Arial"/>
                <w:bCs/>
                <w:i/>
                <w:iCs/>
                <w:color w:val="203864" w:themeColor="accent1" w:themeShade="80"/>
                <w:sz w:val="20"/>
                <w:szCs w:val="20"/>
              </w:rPr>
            </w:pPr>
          </w:p>
        </w:tc>
      </w:tr>
      <w:tr>
        <w:tblPrEx>
          <w:tblCellMar>
            <w:top w:w="0" w:type="dxa"/>
            <w:left w:w="108" w:type="dxa"/>
            <w:bottom w:w="0" w:type="dxa"/>
            <w:right w:w="108" w:type="dxa"/>
          </w:tblCellMar>
        </w:tblPrEx>
        <w:tc>
          <w:tcPr>
            <w:tcW w:w="1608" w:type="dxa"/>
            <w:shd w:val="clear" w:color="auto" w:fill="auto"/>
          </w:tcPr>
          <w:p>
            <w:pPr>
              <w:pStyle w:val="20"/>
              <w:rPr>
                <w:rFonts w:ascii="Arial" w:hAnsi="Arial" w:cs="Arial"/>
                <w:color w:val="auto"/>
                <w:sz w:val="20"/>
                <w:szCs w:val="20"/>
              </w:rPr>
            </w:pPr>
          </w:p>
          <w:p>
            <w:pPr>
              <w:pStyle w:val="20"/>
              <w:rPr>
                <w:rFonts w:ascii="Arial" w:hAnsi="Arial" w:cs="Arial"/>
                <w:color w:val="auto"/>
                <w:sz w:val="20"/>
                <w:szCs w:val="20"/>
              </w:rPr>
            </w:pPr>
          </w:p>
        </w:tc>
        <w:tc>
          <w:tcPr>
            <w:tcW w:w="7030" w:type="dxa"/>
            <w:shd w:val="clear" w:color="auto" w:fill="auto"/>
          </w:tcPr>
          <w:p>
            <w:pPr>
              <w:pStyle w:val="20"/>
              <w:rPr>
                <w:rFonts w:ascii="Arial" w:hAnsi="Arial" w:cs="Arial"/>
                <w:bCs/>
                <w:i/>
                <w:iCs/>
                <w:color w:val="203864" w:themeColor="accent1" w:themeShade="80"/>
                <w:sz w:val="20"/>
                <w:szCs w:val="20"/>
              </w:rPr>
            </w:pPr>
            <w:r>
              <w:rPr>
                <w:rFonts w:ascii="Arial" w:hAnsi="Arial" w:cs="Arial"/>
                <w:b/>
                <w:i/>
                <w:iCs/>
                <w:color w:val="203864" w:themeColor="accent1" w:themeShade="80"/>
                <w:sz w:val="20"/>
                <w:szCs w:val="20"/>
              </w:rPr>
              <w:t>VPRAŠANJA IN ODGOVORI, 20'</w:t>
            </w:r>
          </w:p>
        </w:tc>
      </w:tr>
      <w:tr>
        <w:tblPrEx>
          <w:tblCellMar>
            <w:top w:w="0" w:type="dxa"/>
            <w:left w:w="108" w:type="dxa"/>
            <w:bottom w:w="0" w:type="dxa"/>
            <w:right w:w="108" w:type="dxa"/>
          </w:tblCellMar>
        </w:tblPrEx>
        <w:tc>
          <w:tcPr>
            <w:tcW w:w="1608" w:type="dxa"/>
            <w:shd w:val="clear" w:color="auto" w:fill="auto"/>
          </w:tcPr>
          <w:p>
            <w:pPr>
              <w:pStyle w:val="20"/>
              <w:rPr>
                <w:rFonts w:ascii="Arial" w:hAnsi="Arial" w:cs="Arial"/>
                <w:color w:val="auto"/>
                <w:sz w:val="20"/>
                <w:szCs w:val="20"/>
              </w:rPr>
            </w:pPr>
          </w:p>
          <w:p>
            <w:pPr>
              <w:pStyle w:val="20"/>
              <w:rPr>
                <w:rFonts w:ascii="Arial" w:hAnsi="Arial" w:cs="Arial"/>
                <w:color w:val="auto"/>
                <w:sz w:val="20"/>
                <w:szCs w:val="20"/>
              </w:rPr>
            </w:pPr>
            <w:r>
              <w:rPr>
                <w:rFonts w:ascii="Arial" w:hAnsi="Arial" w:cs="Arial"/>
                <w:color w:val="auto"/>
                <w:sz w:val="20"/>
                <w:szCs w:val="20"/>
              </w:rPr>
              <w:t>16.15 – 16.30</w:t>
            </w:r>
          </w:p>
        </w:tc>
        <w:tc>
          <w:tcPr>
            <w:tcW w:w="7030" w:type="dxa"/>
            <w:shd w:val="clear" w:color="auto" w:fill="auto"/>
          </w:tcPr>
          <w:p>
            <w:pPr>
              <w:pStyle w:val="20"/>
              <w:rPr>
                <w:rFonts w:ascii="Arial" w:hAnsi="Arial" w:cs="Arial"/>
                <w:b/>
                <w:i/>
                <w:iCs/>
                <w:color w:val="203864" w:themeColor="accent1" w:themeShade="80"/>
                <w:sz w:val="20"/>
                <w:szCs w:val="20"/>
              </w:rPr>
            </w:pPr>
          </w:p>
          <w:p>
            <w:pPr>
              <w:pStyle w:val="20"/>
              <w:rPr>
                <w:rFonts w:ascii="Arial" w:hAnsi="Arial" w:cs="Arial"/>
                <w:b/>
                <w:color w:val="203864" w:themeColor="accent1" w:themeShade="80"/>
                <w:sz w:val="20"/>
                <w:szCs w:val="20"/>
              </w:rPr>
            </w:pPr>
            <w:r>
              <w:rPr>
                <w:rFonts w:ascii="Arial" w:hAnsi="Arial" w:cs="Arial"/>
                <w:b/>
                <w:color w:val="000080"/>
                <w:sz w:val="20"/>
                <w:szCs w:val="20"/>
              </w:rPr>
              <w:t>ZAKLJUČNE</w:t>
            </w:r>
            <w:r>
              <w:rPr>
                <w:rFonts w:ascii="Arial" w:hAnsi="Arial" w:cs="Arial"/>
                <w:b/>
                <w:color w:val="203864" w:themeColor="accent1" w:themeShade="80"/>
                <w:sz w:val="20"/>
                <w:szCs w:val="20"/>
              </w:rPr>
              <w:t xml:space="preserve"> </w:t>
            </w:r>
            <w:r>
              <w:rPr>
                <w:rFonts w:ascii="Arial" w:hAnsi="Arial" w:cs="Arial"/>
                <w:b/>
                <w:color w:val="000080"/>
                <w:sz w:val="20"/>
                <w:szCs w:val="20"/>
              </w:rPr>
              <w:t>MISLI</w:t>
            </w:r>
          </w:p>
          <w:p>
            <w:pPr>
              <w:pStyle w:val="20"/>
              <w:rPr>
                <w:rFonts w:ascii="Arial" w:hAnsi="Arial" w:cs="Arial"/>
                <w:b/>
                <w:i/>
                <w:iCs/>
                <w:color w:val="203864" w:themeColor="accent1" w:themeShade="80"/>
                <w:sz w:val="20"/>
                <w:szCs w:val="20"/>
              </w:rPr>
            </w:pPr>
            <w:r>
              <w:rPr>
                <w:rFonts w:ascii="Arial" w:hAnsi="Arial" w:cs="Arial"/>
                <w:i/>
                <w:color w:val="auto"/>
                <w:sz w:val="20"/>
                <w:szCs w:val="20"/>
              </w:rPr>
              <w:t>Klemen Boštjančič, minister za finance</w:t>
            </w:r>
            <w:r>
              <w:rPr>
                <w:rFonts w:ascii="Arial" w:hAnsi="Arial" w:cs="Arial"/>
                <w:b/>
                <w:i/>
                <w:iCs/>
                <w:color w:val="203864" w:themeColor="accent1" w:themeShade="80"/>
                <w:sz w:val="20"/>
                <w:szCs w:val="20"/>
              </w:rPr>
              <w:t xml:space="preserve"> </w:t>
            </w:r>
          </w:p>
        </w:tc>
      </w:tr>
      <w:tr>
        <w:tblPrEx>
          <w:tblCellMar>
            <w:top w:w="0" w:type="dxa"/>
            <w:left w:w="108" w:type="dxa"/>
            <w:bottom w:w="0" w:type="dxa"/>
            <w:right w:w="108" w:type="dxa"/>
          </w:tblCellMar>
        </w:tblPrEx>
        <w:tc>
          <w:tcPr>
            <w:tcW w:w="1608" w:type="dxa"/>
            <w:shd w:val="clear" w:color="auto" w:fill="auto"/>
          </w:tcPr>
          <w:p>
            <w:pPr>
              <w:pStyle w:val="20"/>
              <w:rPr>
                <w:rFonts w:ascii="Arial" w:hAnsi="Arial" w:cs="Arial"/>
                <w:color w:val="auto"/>
                <w:sz w:val="20"/>
                <w:szCs w:val="20"/>
              </w:rPr>
            </w:pPr>
          </w:p>
          <w:p>
            <w:pPr>
              <w:pStyle w:val="20"/>
              <w:rPr>
                <w:rFonts w:ascii="Arial" w:hAnsi="Arial" w:cs="Arial"/>
                <w:color w:val="auto"/>
                <w:sz w:val="20"/>
                <w:szCs w:val="20"/>
              </w:rPr>
            </w:pPr>
            <w:r>
              <w:rPr>
                <w:rFonts w:ascii="Arial" w:hAnsi="Arial" w:cs="Arial"/>
                <w:color w:val="auto"/>
                <w:sz w:val="20"/>
                <w:szCs w:val="20"/>
              </w:rPr>
              <w:t>16.30 – 17.30</w:t>
            </w:r>
          </w:p>
        </w:tc>
        <w:tc>
          <w:tcPr>
            <w:tcW w:w="7030" w:type="dxa"/>
            <w:shd w:val="clear" w:color="auto" w:fill="auto"/>
          </w:tcPr>
          <w:p>
            <w:pPr>
              <w:pStyle w:val="20"/>
              <w:rPr>
                <w:rFonts w:ascii="Arial" w:hAnsi="Arial" w:cs="Arial"/>
                <w:b/>
                <w:i/>
                <w:iCs/>
                <w:color w:val="203864" w:themeColor="accent1" w:themeShade="80"/>
                <w:sz w:val="20"/>
                <w:szCs w:val="20"/>
              </w:rPr>
            </w:pPr>
          </w:p>
          <w:p>
            <w:pPr>
              <w:pStyle w:val="20"/>
              <w:rPr>
                <w:rFonts w:ascii="Arial" w:hAnsi="Arial" w:cs="Arial"/>
                <w:b/>
                <w:color w:val="203864" w:themeColor="accent1" w:themeShade="80"/>
                <w:sz w:val="20"/>
                <w:szCs w:val="20"/>
              </w:rPr>
            </w:pPr>
            <w:r>
              <w:rPr>
                <w:rFonts w:ascii="Arial" w:hAnsi="Arial" w:cs="Arial"/>
                <w:b/>
                <w:color w:val="000080"/>
                <w:sz w:val="20"/>
                <w:szCs w:val="20"/>
              </w:rPr>
              <w:t>BILATERALNI SESTANKI</w:t>
            </w:r>
          </w:p>
          <w:p>
            <w:pPr>
              <w:pStyle w:val="20"/>
              <w:rPr>
                <w:rFonts w:ascii="Arial" w:hAnsi="Arial" w:cs="Arial"/>
                <w:b/>
                <w:i/>
                <w:iCs/>
                <w:color w:val="203864" w:themeColor="accent1" w:themeShade="80"/>
                <w:sz w:val="20"/>
                <w:szCs w:val="20"/>
              </w:rPr>
            </w:pPr>
          </w:p>
        </w:tc>
      </w:tr>
    </w:tbl>
    <w:p>
      <w:pPr>
        <w:rPr>
          <w:lang w:val="sl-SI" w:eastAsia="sl-SI"/>
        </w:rPr>
      </w:pPr>
    </w:p>
    <w:p>
      <w:pPr>
        <w:rPr>
          <w:lang w:val="sl-SI" w:eastAsia="sl-SI"/>
        </w:rPr>
      </w:pPr>
    </w:p>
    <w:p>
      <w:pPr>
        <w:rPr>
          <w:lang w:val="sl-SI" w:eastAsia="sl-SI"/>
        </w:rPr>
      </w:pPr>
    </w:p>
    <w:p>
      <w:pPr>
        <w:rPr>
          <w:lang w:val="sl-SI" w:eastAsia="sl-SI"/>
        </w:rPr>
      </w:pPr>
    </w:p>
    <w:p>
      <w:pPr>
        <w:jc w:val="both"/>
        <w:rPr>
          <w:rFonts w:cs="Arial"/>
          <w:b/>
          <w:szCs w:val="20"/>
          <w:lang w:val="sl-SI" w:eastAsia="sl-SI"/>
        </w:rPr>
      </w:pPr>
      <w:r>
        <w:rPr>
          <w:rFonts w:cs="Arial"/>
          <w:b/>
          <w:szCs w:val="20"/>
          <w:lang w:val="sl-SI" w:eastAsia="sl-SI"/>
        </w:rPr>
        <w:t>Dnevni red se lahko pred samim dogodkom še spremeni. Končni dnevni red vam bo posredovan pred dogodkom.</w:t>
      </w:r>
    </w:p>
    <w:p>
      <w:pPr>
        <w:ind w:firstLine="720"/>
        <w:rPr>
          <w:lang w:val="sl-SI" w:eastAsia="sl-SI"/>
        </w:rPr>
      </w:pPr>
    </w:p>
    <w:sectPr>
      <w:headerReference r:id="rId5" w:type="first"/>
      <w:footerReference r:id="rId7" w:type="first"/>
      <w:footerReference r:id="rId6" w:type="default"/>
      <w:pgSz w:w="11900" w:h="16840"/>
      <w:pgMar w:top="1701" w:right="1701" w:bottom="1134" w:left="1701" w:header="1531" w:footer="794" w:gutter="0"/>
      <w:cols w:space="708" w:num="1"/>
      <w:titlePg/>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EE"/>
    <w:family w:val="swiss"/>
    <w:pitch w:val="default"/>
    <w:sig w:usb0="E0002EFF" w:usb1="C000785B" w:usb2="00000009" w:usb3="00000000" w:csb0="400001FF" w:csb1="FFFF0000"/>
  </w:font>
  <w:font w:name="Tahoma">
    <w:panose1 w:val="020B0604030504040204"/>
    <w:charset w:val="EE"/>
    <w:family w:val="swiss"/>
    <w:pitch w:val="default"/>
    <w:sig w:usb0="E1002EFF" w:usb1="C000605B" w:usb2="00000029" w:usb3="00000000" w:csb0="200101FF" w:csb1="20280000"/>
  </w:font>
  <w:font w:name="Century Gothic">
    <w:altName w:val="Black Nemesis Perosonal USE"/>
    <w:panose1 w:val="020B0502020202020204"/>
    <w:charset w:val="EE"/>
    <w:family w:val="swiss"/>
    <w:pitch w:val="default"/>
    <w:sig w:usb0="00000000" w:usb1="00000000" w:usb2="00000000" w:usb3="00000000" w:csb0="0000009F" w:csb1="00000000"/>
  </w:font>
  <w:font w:name="Republika">
    <w:altName w:val="Black Nemesis Perosonal USE"/>
    <w:panose1 w:val="02000506040000020004"/>
    <w:charset w:val="EE"/>
    <w:family w:val="auto"/>
    <w:pitch w:val="default"/>
    <w:sig w:usb0="00000000" w:usb1="00000000" w:usb2="00000000" w:usb3="00000000" w:csb0="00000093" w:csb1="00000000"/>
  </w:font>
  <w:font w:name="Black Nemesis Perosonal USE">
    <w:panose1 w:val="02000500000000000000"/>
    <w:charset w:val="00"/>
    <w:family w:val="auto"/>
    <w:pitch w:val="default"/>
    <w:sig w:usb0="0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t xml:space="preserve">   </w:t>
    </w:r>
    <w:r>
      <w:rPr>
        <w:lang w:val="sl-SI" w:eastAsia="sl-SI"/>
      </w:rPr>
      <w:drawing>
        <wp:inline distT="0" distB="0" distL="0" distR="0">
          <wp:extent cx="1466850" cy="438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01795" cy="449135"/>
                  </a:xfrm>
                  <a:prstGeom prst="rect">
                    <a:avLst/>
                  </a:prstGeom>
                  <a:noFill/>
                </pic:spPr>
              </pic:pic>
            </a:graphicData>
          </a:graphic>
        </wp:inline>
      </w:drawing>
    </w:r>
    <w:r>
      <w:t xml:space="preserve">                                                                                  </w:t>
    </w:r>
    <w:r>
      <w:drawing>
        <wp:inline distT="0" distB="0" distL="0" distR="0">
          <wp:extent cx="810895" cy="743585"/>
          <wp:effectExtent l="0" t="0" r="825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810895" cy="743585"/>
                  </a:xfrm>
                  <a:prstGeom prst="rect">
                    <a:avLst/>
                  </a:prstGeom>
                  <a:noFill/>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t xml:space="preserve">   </w:t>
    </w:r>
    <w:r>
      <w:rPr>
        <w:lang w:val="sl-SI" w:eastAsia="sl-SI"/>
      </w:rPr>
      <w:drawing>
        <wp:inline distT="0" distB="0" distL="0" distR="0">
          <wp:extent cx="1466850" cy="43815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01795" cy="449135"/>
                  </a:xfrm>
                  <a:prstGeom prst="rect">
                    <a:avLst/>
                  </a:prstGeom>
                  <a:noFill/>
                </pic:spPr>
              </pic:pic>
            </a:graphicData>
          </a:graphic>
        </wp:inline>
      </w:drawing>
    </w:r>
    <w:r>
      <w:t xml:space="preserve">                                                                                  </w:t>
    </w:r>
    <w:r>
      <w:drawing>
        <wp:inline distT="0" distB="0" distL="0" distR="0">
          <wp:extent cx="810895" cy="743585"/>
          <wp:effectExtent l="0" t="0" r="8255"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810895" cy="743585"/>
                  </a:xfrm>
                  <a:prstGeom prst="rect">
                    <a:avLst/>
                  </a:prstGeom>
                  <a:noFill/>
                </pic:spPr>
              </pic:pic>
            </a:graphicData>
          </a:graphic>
        </wp:inline>
      </w:drawing>
    </w:r>
  </w:p>
  <w:p>
    <w:pPr>
      <w:pStyle w:val="10"/>
      <w:jc w:val="right"/>
    </w:pPr>
    <w:r>
      <w:rPr>
        <w:lang w:val="sl-SI" w:eastAsia="sl-SI"/>
      </w:rPr>
      <w:drawing>
        <wp:anchor distT="0" distB="0" distL="114300" distR="114300" simplePos="0" relativeHeight="251659264" behindDoc="0" locked="0" layoutInCell="1" allowOverlap="1">
          <wp:simplePos x="0" y="0"/>
          <wp:positionH relativeFrom="margin">
            <wp:posOffset>6688455</wp:posOffset>
          </wp:positionH>
          <wp:positionV relativeFrom="paragraph">
            <wp:posOffset>8428355</wp:posOffset>
          </wp:positionV>
          <wp:extent cx="728345" cy="647700"/>
          <wp:effectExtent l="0" t="0" r="0" b="0"/>
          <wp:wrapThrough wrapText="bothSides">
            <wp:wrapPolygon>
              <wp:start x="5085" y="1271"/>
              <wp:lineTo x="0" y="10165"/>
              <wp:lineTo x="1695" y="12706"/>
              <wp:lineTo x="4520" y="19694"/>
              <wp:lineTo x="14689" y="19694"/>
              <wp:lineTo x="15254" y="18424"/>
              <wp:lineTo x="18643" y="12706"/>
              <wp:lineTo x="18078" y="9529"/>
              <wp:lineTo x="14124" y="1271"/>
              <wp:lineTo x="5085" y="1271"/>
            </wp:wrapPolygon>
          </wp:wrapThrough>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728345" cy="6477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pPr w:leftFromText="142" w:rightFromText="142" w:bottomFromText="6005" w:vertAnchor="page" w:horzAnchor="page" w:tblpX="925" w:tblpY="869"/>
      <w:tblW w:w="0" w:type="auto"/>
      <w:tblInd w:w="0" w:type="dxa"/>
      <w:tblLayout w:type="autofit"/>
      <w:tblCellMar>
        <w:top w:w="0" w:type="dxa"/>
        <w:left w:w="108" w:type="dxa"/>
        <w:bottom w:w="0" w:type="dxa"/>
        <w:right w:w="108" w:type="dxa"/>
      </w:tblCellMar>
    </w:tblPr>
    <w:tblGrid>
      <w:gridCol w:w="567"/>
    </w:tblGrid>
    <w:tr>
      <w:tblPrEx>
        <w:tblCellMar>
          <w:top w:w="0" w:type="dxa"/>
          <w:left w:w="108" w:type="dxa"/>
          <w:bottom w:w="0" w:type="dxa"/>
          <w:right w:w="108" w:type="dxa"/>
        </w:tblCellMar>
      </w:tblPrEx>
      <w:trPr>
        <w:cantSplit/>
        <w:trHeight w:val="847" w:hRule="exact"/>
      </w:trPr>
      <w:tc>
        <w:tcPr>
          <w:tcW w:w="567" w:type="dxa"/>
        </w:tcPr>
        <w:p>
          <w:pPr>
            <w:autoSpaceDE w:val="0"/>
            <w:autoSpaceDN w:val="0"/>
            <w:adjustRightInd w:val="0"/>
            <w:spacing w:line="240" w:lineRule="auto"/>
            <w:rPr>
              <w:rFonts w:ascii="Republika" w:hAnsi="Republika"/>
              <w:color w:val="529DBA"/>
              <w:sz w:val="60"/>
              <w:szCs w:val="60"/>
              <w:lang w:val="sl-SI"/>
            </w:rPr>
          </w:pPr>
        </w:p>
      </w:tc>
    </w:tr>
    <w:tr>
      <w:tblPrEx>
        <w:tblCellMar>
          <w:top w:w="0" w:type="dxa"/>
          <w:left w:w="108" w:type="dxa"/>
          <w:bottom w:w="0" w:type="dxa"/>
          <w:right w:w="108" w:type="dxa"/>
        </w:tblCellMar>
      </w:tblPrEx>
      <w:trPr>
        <w:cantSplit/>
        <w:trHeight w:val="847" w:hRule="exact"/>
      </w:trPr>
      <w:tc>
        <w:tcPr>
          <w:tcW w:w="567" w:type="dxa"/>
        </w:tcPr>
        <w:p>
          <w:pPr>
            <w:autoSpaceDE w:val="0"/>
            <w:autoSpaceDN w:val="0"/>
            <w:adjustRightInd w:val="0"/>
            <w:spacing w:line="240" w:lineRule="auto"/>
            <w:rPr>
              <w:rFonts w:ascii="Republika" w:hAnsi="Republika"/>
              <w:color w:val="529DBA"/>
              <w:sz w:val="60"/>
              <w:szCs w:val="60"/>
              <w:lang w:val="sl-SI"/>
            </w:rPr>
          </w:pPr>
        </w:p>
        <w:p>
          <w:pPr>
            <w:autoSpaceDE w:val="0"/>
            <w:autoSpaceDN w:val="0"/>
            <w:adjustRightInd w:val="0"/>
            <w:spacing w:line="240" w:lineRule="auto"/>
            <w:rPr>
              <w:rFonts w:ascii="Republika" w:hAnsi="Republika"/>
              <w:color w:val="529DBA"/>
              <w:sz w:val="60"/>
              <w:szCs w:val="60"/>
              <w:lang w:val="sl-SI"/>
            </w:rPr>
          </w:pPr>
        </w:p>
      </w:tc>
    </w:tr>
  </w:tbl>
  <w:p>
    <w:pPr>
      <w:pStyle w:val="13"/>
      <w:tabs>
        <w:tab w:val="left" w:pos="5112"/>
        <w:tab w:val="clear" w:pos="4320"/>
        <w:tab w:val="clear" w:pos="8640"/>
      </w:tabs>
      <w:spacing w:before="120" w:line="240" w:lineRule="exact"/>
      <w:rPr>
        <w:lang w:val="sl-SI"/>
      </w:rPr>
    </w:pPr>
    <w:r>
      <w:rPr>
        <w:rFonts w:ascii="Times New Roman" w:hAnsi="Times New Roman"/>
        <w:sz w:val="24"/>
        <w:lang w:val="sl-SI" w:eastAsia="sl-SI"/>
      </w:rPr>
      <w:drawing>
        <wp:anchor distT="0" distB="0" distL="114300" distR="114300" simplePos="0" relativeHeight="251663360" behindDoc="1" locked="0" layoutInCell="1" allowOverlap="1">
          <wp:simplePos x="0" y="0"/>
          <wp:positionH relativeFrom="page">
            <wp:posOffset>2630805</wp:posOffset>
          </wp:positionH>
          <wp:positionV relativeFrom="page">
            <wp:posOffset>420370</wp:posOffset>
          </wp:positionV>
          <wp:extent cx="1828165" cy="348615"/>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60309" cy="354632"/>
                  </a:xfrm>
                  <a:prstGeom prst="rect">
                    <a:avLst/>
                  </a:prstGeom>
                  <a:noFill/>
                </pic:spPr>
              </pic:pic>
            </a:graphicData>
          </a:graphic>
        </wp:anchor>
      </w:drawing>
    </w:r>
    <w:r>
      <w:rPr>
        <w:lang w:val="sl-SI" w:eastAsia="sl-SI"/>
      </w:rPr>
      <w:drawing>
        <wp:anchor distT="0" distB="0" distL="114300" distR="114300" simplePos="0" relativeHeight="251662336" behindDoc="0" locked="0" layoutInCell="1" allowOverlap="1">
          <wp:simplePos x="0" y="0"/>
          <wp:positionH relativeFrom="margin">
            <wp:posOffset>3592830</wp:posOffset>
          </wp:positionH>
          <wp:positionV relativeFrom="topMargin">
            <wp:posOffset>257175</wp:posOffset>
          </wp:positionV>
          <wp:extent cx="990600" cy="743585"/>
          <wp:effectExtent l="0" t="0" r="0" b="0"/>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990600" cy="743585"/>
                  </a:xfrm>
                  <a:prstGeom prst="rect">
                    <a:avLst/>
                  </a:prstGeom>
                  <a:noFill/>
                </pic:spPr>
              </pic:pic>
            </a:graphicData>
          </a:graphic>
        </wp:anchor>
      </w:drawing>
    </w:r>
    <w:r>
      <w:rPr>
        <w:lang w:val="sl-SI" w:eastAsia="sl-SI"/>
      </w:rPr>
      <w:drawing>
        <wp:anchor distT="0" distB="0" distL="114300" distR="114300" simplePos="0" relativeHeight="251660288" behindDoc="0" locked="0" layoutInCell="1" allowOverlap="1">
          <wp:simplePos x="0" y="0"/>
          <wp:positionH relativeFrom="page">
            <wp:posOffset>676275</wp:posOffset>
          </wp:positionH>
          <wp:positionV relativeFrom="page">
            <wp:posOffset>457200</wp:posOffset>
          </wp:positionV>
          <wp:extent cx="1819275" cy="337185"/>
          <wp:effectExtent l="0" t="0" r="0" b="571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a:picLocks noChangeAspect="1" noChangeArrowheads="1"/>
                  </pic:cNvPicPr>
                </pic:nvPicPr>
                <pic:blipFill>
                  <a:blip r:embed="rId3" cstate="print">
                    <a:extLst>
                      <a:ext uri="{28A0092B-C50C-407E-A947-70E740481C1C}">
                        <a14:useLocalDpi xmlns:a14="http://schemas.microsoft.com/office/drawing/2010/main" val="0"/>
                      </a:ext>
                    </a:extLst>
                  </a:blip>
                  <a:srcRect l="12169" t="59055" r="38092"/>
                  <a:stretch>
                    <a:fillRect/>
                  </a:stretch>
                </pic:blipFill>
                <pic:spPr>
                  <a:xfrm>
                    <a:off x="0" y="0"/>
                    <a:ext cx="1819275" cy="337237"/>
                  </a:xfrm>
                  <a:prstGeom prst="rect">
                    <a:avLst/>
                  </a:prstGeom>
                  <a:noFill/>
                </pic:spPr>
              </pic:pic>
            </a:graphicData>
          </a:graphic>
        </wp:anchor>
      </w:drawing>
    </w:r>
    <w:r>
      <w:rPr>
        <w:lang w:val="sl-SI" w:eastAsia="sl-SI"/>
      </w:rPr>
      <w:drawing>
        <wp:anchor distT="0" distB="0" distL="114300" distR="114300" simplePos="0" relativeHeight="251661312" behindDoc="1" locked="0" layoutInCell="1" allowOverlap="1">
          <wp:simplePos x="0" y="0"/>
          <wp:positionH relativeFrom="column">
            <wp:posOffset>4834890</wp:posOffset>
          </wp:positionH>
          <wp:positionV relativeFrom="paragraph">
            <wp:posOffset>-483235</wp:posOffset>
          </wp:positionV>
          <wp:extent cx="935355" cy="302260"/>
          <wp:effectExtent l="0" t="0" r="0" b="2540"/>
          <wp:wrapTight wrapText="bothSides">
            <wp:wrapPolygon>
              <wp:start x="0" y="0"/>
              <wp:lineTo x="0" y="19059"/>
              <wp:lineTo x="1320" y="20420"/>
              <wp:lineTo x="19796" y="20420"/>
              <wp:lineTo x="20676" y="17697"/>
              <wp:lineTo x="20676" y="5445"/>
              <wp:lineTo x="20236" y="0"/>
              <wp:lineTo x="0" y="0"/>
            </wp:wrapPolygon>
          </wp:wrapTight>
          <wp:docPr id="6" name="Slika 6" descr="Inter-American Development Bank">
            <a:hlinkClick xmlns:a="http://schemas.openxmlformats.org/drawingml/2006/main" r:id="rId4"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Inter-American Development Bank"/>
                  <pic:cNvPicPr>
                    <a:picLocks noChangeAspect="1" noChangeArrowheads="1"/>
                  </pic:cNvPicPr>
                </pic:nvPicPr>
                <pic:blipFill>
                  <a:blip r:embed="rId5">
                    <a:extLst>
                      <a:ext uri="{28A0092B-C50C-407E-A947-70E740481C1C}">
                        <a14:useLocalDpi xmlns:a14="http://schemas.microsoft.com/office/drawing/2010/main" val="0"/>
                      </a:ext>
                    </a:extLst>
                  </a:blip>
                  <a:srcRect r="64098"/>
                  <a:stretch>
                    <a:fillRect/>
                  </a:stretch>
                </pic:blipFill>
                <pic:spPr>
                  <a:xfrm>
                    <a:off x="0" y="0"/>
                    <a:ext cx="935355" cy="302260"/>
                  </a:xfrm>
                  <a:prstGeom prst="rect">
                    <a:avLst/>
                  </a:prstGeom>
                  <a:noFill/>
                </pic:spPr>
              </pic:pic>
            </a:graphicData>
          </a:graphic>
        </wp:anchor>
      </w:drawing>
    </w:r>
    <w:r>
      <w:rPr>
        <w:lang w:val="sl-SI" w:eastAsia="sl-SI"/>
      </w:rPr>
      <w:drawing>
        <wp:inline distT="0" distB="0" distL="0" distR="0">
          <wp:extent cx="1268095" cy="1103630"/>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68095" cy="1103630"/>
                  </a:xfrm>
                  <a:prstGeom prst="rect">
                    <a:avLst/>
                  </a:prstGeom>
                  <a:noFill/>
                </pic:spPr>
              </pic:pic>
            </a:graphicData>
          </a:graphic>
        </wp:inline>
      </w:drawing>
    </w:r>
    <w:r>
      <w:rPr>
        <w:lang w:val="sl-SI"/>
      </w:rPr>
      <w:tab/>
    </w:r>
  </w:p>
  <w:p>
    <w:pPr>
      <w:pStyle w:val="13"/>
      <w:tabs>
        <w:tab w:val="left" w:pos="5112"/>
        <w:tab w:val="clear" w:pos="4320"/>
        <w:tab w:val="clear" w:pos="8640"/>
      </w:tabs>
      <w:spacing w:before="120" w:line="240" w:lineRule="exact"/>
      <w:rPr>
        <w:lang w:val="sl-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hyphenationZone w:val="425"/>
  <w:drawingGridHorizontalSpacing w:val="100"/>
  <w:drawingGridVerticalSpacing w:val="284"/>
  <w:displayHorizontalDrawingGridEvery w:val="2"/>
  <w:displayVerticalDrawingGridEvery w:val="2"/>
  <w:noPunctuationKerning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1143B"/>
    <w:rsid w:val="00022141"/>
    <w:rsid w:val="00023056"/>
    <w:rsid w:val="00023A88"/>
    <w:rsid w:val="0002526E"/>
    <w:rsid w:val="000266A0"/>
    <w:rsid w:val="0003115C"/>
    <w:rsid w:val="00031E07"/>
    <w:rsid w:val="000443F9"/>
    <w:rsid w:val="00060C98"/>
    <w:rsid w:val="0006185E"/>
    <w:rsid w:val="0006715A"/>
    <w:rsid w:val="000738C7"/>
    <w:rsid w:val="00074218"/>
    <w:rsid w:val="00074F6D"/>
    <w:rsid w:val="00075930"/>
    <w:rsid w:val="00084D28"/>
    <w:rsid w:val="000A22FB"/>
    <w:rsid w:val="000A553C"/>
    <w:rsid w:val="000A7238"/>
    <w:rsid w:val="000A7A4A"/>
    <w:rsid w:val="000B1394"/>
    <w:rsid w:val="000B6D71"/>
    <w:rsid w:val="000C1A8B"/>
    <w:rsid w:val="000C4C61"/>
    <w:rsid w:val="000E56DE"/>
    <w:rsid w:val="000E69BB"/>
    <w:rsid w:val="000F0D0A"/>
    <w:rsid w:val="00102121"/>
    <w:rsid w:val="00110CBD"/>
    <w:rsid w:val="00117E86"/>
    <w:rsid w:val="001239A6"/>
    <w:rsid w:val="001316B8"/>
    <w:rsid w:val="00132643"/>
    <w:rsid w:val="001357B2"/>
    <w:rsid w:val="00142724"/>
    <w:rsid w:val="00155C25"/>
    <w:rsid w:val="0017478F"/>
    <w:rsid w:val="00181316"/>
    <w:rsid w:val="0018293C"/>
    <w:rsid w:val="00182B4F"/>
    <w:rsid w:val="001914FF"/>
    <w:rsid w:val="001A0E80"/>
    <w:rsid w:val="001A2A32"/>
    <w:rsid w:val="001A6CD9"/>
    <w:rsid w:val="001D0420"/>
    <w:rsid w:val="001D47AB"/>
    <w:rsid w:val="001F255E"/>
    <w:rsid w:val="001F46E4"/>
    <w:rsid w:val="00202A77"/>
    <w:rsid w:val="00204B47"/>
    <w:rsid w:val="002142E9"/>
    <w:rsid w:val="00232EC7"/>
    <w:rsid w:val="00233755"/>
    <w:rsid w:val="00241DFF"/>
    <w:rsid w:val="00254A00"/>
    <w:rsid w:val="002602D3"/>
    <w:rsid w:val="00270450"/>
    <w:rsid w:val="002719A4"/>
    <w:rsid w:val="00271CE5"/>
    <w:rsid w:val="00282020"/>
    <w:rsid w:val="00282607"/>
    <w:rsid w:val="002A2B69"/>
    <w:rsid w:val="002B2129"/>
    <w:rsid w:val="002C2CB7"/>
    <w:rsid w:val="002C4572"/>
    <w:rsid w:val="002C495A"/>
    <w:rsid w:val="002C5BB1"/>
    <w:rsid w:val="002E1F37"/>
    <w:rsid w:val="002E70F6"/>
    <w:rsid w:val="00307192"/>
    <w:rsid w:val="00316BDB"/>
    <w:rsid w:val="00326C24"/>
    <w:rsid w:val="00327516"/>
    <w:rsid w:val="00357FF6"/>
    <w:rsid w:val="003636BF"/>
    <w:rsid w:val="00371442"/>
    <w:rsid w:val="003722F7"/>
    <w:rsid w:val="0037519E"/>
    <w:rsid w:val="003845B4"/>
    <w:rsid w:val="00387B1A"/>
    <w:rsid w:val="00392CBD"/>
    <w:rsid w:val="003C5EE5"/>
    <w:rsid w:val="003C6BA1"/>
    <w:rsid w:val="003D254A"/>
    <w:rsid w:val="003E1C74"/>
    <w:rsid w:val="003E4F3F"/>
    <w:rsid w:val="00415680"/>
    <w:rsid w:val="00417AFC"/>
    <w:rsid w:val="00434848"/>
    <w:rsid w:val="004361A9"/>
    <w:rsid w:val="0043727E"/>
    <w:rsid w:val="004657EE"/>
    <w:rsid w:val="00472FAC"/>
    <w:rsid w:val="0048177F"/>
    <w:rsid w:val="004C1157"/>
    <w:rsid w:val="004D303E"/>
    <w:rsid w:val="004E4D51"/>
    <w:rsid w:val="005021C1"/>
    <w:rsid w:val="0050672F"/>
    <w:rsid w:val="00526246"/>
    <w:rsid w:val="0052728B"/>
    <w:rsid w:val="005317AE"/>
    <w:rsid w:val="005360AD"/>
    <w:rsid w:val="005415D3"/>
    <w:rsid w:val="00545AEA"/>
    <w:rsid w:val="00547D37"/>
    <w:rsid w:val="005607FB"/>
    <w:rsid w:val="00567106"/>
    <w:rsid w:val="005827E8"/>
    <w:rsid w:val="00582CFA"/>
    <w:rsid w:val="005C3CBE"/>
    <w:rsid w:val="005C7A0B"/>
    <w:rsid w:val="005D2E21"/>
    <w:rsid w:val="005D6757"/>
    <w:rsid w:val="005E1D3C"/>
    <w:rsid w:val="005E78E1"/>
    <w:rsid w:val="00615496"/>
    <w:rsid w:val="00625AE6"/>
    <w:rsid w:val="006274B6"/>
    <w:rsid w:val="00632253"/>
    <w:rsid w:val="00642714"/>
    <w:rsid w:val="006455CE"/>
    <w:rsid w:val="00655841"/>
    <w:rsid w:val="0067159E"/>
    <w:rsid w:val="00676A26"/>
    <w:rsid w:val="006A5F8B"/>
    <w:rsid w:val="006B5805"/>
    <w:rsid w:val="006C348F"/>
    <w:rsid w:val="00703EB1"/>
    <w:rsid w:val="00712260"/>
    <w:rsid w:val="007225F6"/>
    <w:rsid w:val="0072736E"/>
    <w:rsid w:val="00733017"/>
    <w:rsid w:val="00773109"/>
    <w:rsid w:val="00783310"/>
    <w:rsid w:val="007A4A6D"/>
    <w:rsid w:val="007C0A9E"/>
    <w:rsid w:val="007D1BCF"/>
    <w:rsid w:val="007D75CF"/>
    <w:rsid w:val="007E0440"/>
    <w:rsid w:val="007E6DC5"/>
    <w:rsid w:val="007F2671"/>
    <w:rsid w:val="008069CE"/>
    <w:rsid w:val="00821543"/>
    <w:rsid w:val="008315FA"/>
    <w:rsid w:val="00840B2E"/>
    <w:rsid w:val="00850DAB"/>
    <w:rsid w:val="00854B0C"/>
    <w:rsid w:val="00855CD5"/>
    <w:rsid w:val="0088043C"/>
    <w:rsid w:val="00884889"/>
    <w:rsid w:val="00886CA8"/>
    <w:rsid w:val="008906C9"/>
    <w:rsid w:val="008B1861"/>
    <w:rsid w:val="008C5738"/>
    <w:rsid w:val="008D031E"/>
    <w:rsid w:val="008D04F0"/>
    <w:rsid w:val="008E0B43"/>
    <w:rsid w:val="008E194D"/>
    <w:rsid w:val="008E5BC7"/>
    <w:rsid w:val="008F3500"/>
    <w:rsid w:val="0090193F"/>
    <w:rsid w:val="009173DD"/>
    <w:rsid w:val="00924B39"/>
    <w:rsid w:val="00924E3C"/>
    <w:rsid w:val="0092515E"/>
    <w:rsid w:val="009254C8"/>
    <w:rsid w:val="009501DD"/>
    <w:rsid w:val="00955EE2"/>
    <w:rsid w:val="009612BB"/>
    <w:rsid w:val="00964DA7"/>
    <w:rsid w:val="00966039"/>
    <w:rsid w:val="00973D39"/>
    <w:rsid w:val="00981B4A"/>
    <w:rsid w:val="00982CA9"/>
    <w:rsid w:val="00987C44"/>
    <w:rsid w:val="00992373"/>
    <w:rsid w:val="009C1134"/>
    <w:rsid w:val="009C6284"/>
    <w:rsid w:val="009C740A"/>
    <w:rsid w:val="009D0F3A"/>
    <w:rsid w:val="009D5A7A"/>
    <w:rsid w:val="009E1C9A"/>
    <w:rsid w:val="009E1CC7"/>
    <w:rsid w:val="009E1EC7"/>
    <w:rsid w:val="009F4326"/>
    <w:rsid w:val="00A01C60"/>
    <w:rsid w:val="00A125C5"/>
    <w:rsid w:val="00A2451C"/>
    <w:rsid w:val="00A24595"/>
    <w:rsid w:val="00A647E6"/>
    <w:rsid w:val="00A65EE7"/>
    <w:rsid w:val="00A6796C"/>
    <w:rsid w:val="00A70133"/>
    <w:rsid w:val="00A748EB"/>
    <w:rsid w:val="00A75E85"/>
    <w:rsid w:val="00A770A6"/>
    <w:rsid w:val="00A813B1"/>
    <w:rsid w:val="00A8396E"/>
    <w:rsid w:val="00A92536"/>
    <w:rsid w:val="00A93576"/>
    <w:rsid w:val="00AA21C8"/>
    <w:rsid w:val="00AA7F91"/>
    <w:rsid w:val="00AB1A70"/>
    <w:rsid w:val="00AB36C4"/>
    <w:rsid w:val="00AB7247"/>
    <w:rsid w:val="00AC32B2"/>
    <w:rsid w:val="00AD3C4E"/>
    <w:rsid w:val="00AE2473"/>
    <w:rsid w:val="00AF2EE4"/>
    <w:rsid w:val="00AF70E2"/>
    <w:rsid w:val="00B01A05"/>
    <w:rsid w:val="00B0730B"/>
    <w:rsid w:val="00B17141"/>
    <w:rsid w:val="00B31575"/>
    <w:rsid w:val="00B41080"/>
    <w:rsid w:val="00B4656B"/>
    <w:rsid w:val="00B55C73"/>
    <w:rsid w:val="00B620CE"/>
    <w:rsid w:val="00B62D2D"/>
    <w:rsid w:val="00B65953"/>
    <w:rsid w:val="00B75408"/>
    <w:rsid w:val="00B8547D"/>
    <w:rsid w:val="00B91CBE"/>
    <w:rsid w:val="00BE3A9B"/>
    <w:rsid w:val="00BE7037"/>
    <w:rsid w:val="00C250D5"/>
    <w:rsid w:val="00C3243F"/>
    <w:rsid w:val="00C3528A"/>
    <w:rsid w:val="00C35666"/>
    <w:rsid w:val="00C841F1"/>
    <w:rsid w:val="00C92898"/>
    <w:rsid w:val="00CA4340"/>
    <w:rsid w:val="00CB25AD"/>
    <w:rsid w:val="00CB6489"/>
    <w:rsid w:val="00CE5238"/>
    <w:rsid w:val="00CE7514"/>
    <w:rsid w:val="00D04605"/>
    <w:rsid w:val="00D11C17"/>
    <w:rsid w:val="00D202F5"/>
    <w:rsid w:val="00D248DE"/>
    <w:rsid w:val="00D25005"/>
    <w:rsid w:val="00D30CF5"/>
    <w:rsid w:val="00D52F99"/>
    <w:rsid w:val="00D83379"/>
    <w:rsid w:val="00D8542D"/>
    <w:rsid w:val="00D916CB"/>
    <w:rsid w:val="00DC6A71"/>
    <w:rsid w:val="00DD26FE"/>
    <w:rsid w:val="00DE175C"/>
    <w:rsid w:val="00DE7213"/>
    <w:rsid w:val="00DF473D"/>
    <w:rsid w:val="00E0357D"/>
    <w:rsid w:val="00E141E9"/>
    <w:rsid w:val="00E27277"/>
    <w:rsid w:val="00E53647"/>
    <w:rsid w:val="00E63630"/>
    <w:rsid w:val="00E67BBA"/>
    <w:rsid w:val="00E71934"/>
    <w:rsid w:val="00EA0499"/>
    <w:rsid w:val="00EA6B6F"/>
    <w:rsid w:val="00EB7E7D"/>
    <w:rsid w:val="00EC5D16"/>
    <w:rsid w:val="00ED1C3E"/>
    <w:rsid w:val="00EE691F"/>
    <w:rsid w:val="00F02F99"/>
    <w:rsid w:val="00F056BB"/>
    <w:rsid w:val="00F07AAF"/>
    <w:rsid w:val="00F10F98"/>
    <w:rsid w:val="00F119BC"/>
    <w:rsid w:val="00F21E38"/>
    <w:rsid w:val="00F240BB"/>
    <w:rsid w:val="00F50C02"/>
    <w:rsid w:val="00F50C2E"/>
    <w:rsid w:val="00F57FED"/>
    <w:rsid w:val="00F60620"/>
    <w:rsid w:val="00F64C39"/>
    <w:rsid w:val="00F70C32"/>
    <w:rsid w:val="00F80535"/>
    <w:rsid w:val="00F83381"/>
    <w:rsid w:val="00F91504"/>
    <w:rsid w:val="00FD7493"/>
    <w:rsid w:val="00FE609F"/>
    <w:rsid w:val="00FF68BC"/>
    <w:rsid w:val="00FF782C"/>
    <w:rsid w:val="6E62614A"/>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60" w:lineRule="atLeast"/>
    </w:pPr>
    <w:rPr>
      <w:rFonts w:ascii="Arial" w:hAnsi="Arial" w:eastAsia="Times New Roman" w:cs="Times New Roman"/>
      <w:szCs w:val="24"/>
      <w:lang w:val="en-US" w:eastAsia="en-US" w:bidi="ar-SA"/>
    </w:rPr>
  </w:style>
  <w:style w:type="paragraph" w:styleId="2">
    <w:name w:val="heading 1"/>
    <w:basedOn w:val="1"/>
    <w:next w:val="1"/>
    <w:qFormat/>
    <w:uiPriority w:val="0"/>
    <w:pPr>
      <w:keepNext/>
      <w:spacing w:before="240" w:after="60"/>
      <w:outlineLvl w:val="0"/>
    </w:pPr>
    <w:rPr>
      <w:b/>
      <w:kern w:val="32"/>
      <w:sz w:val="28"/>
      <w:szCs w:val="32"/>
      <w:lang w:val="sl-SI" w:eastAsia="sl-SI"/>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semiHidden/>
    <w:uiPriority w:val="0"/>
    <w:pPr>
      <w:spacing w:line="240" w:lineRule="auto"/>
    </w:pPr>
    <w:rPr>
      <w:rFonts w:ascii="Tahoma" w:hAnsi="Tahoma" w:cs="Tahoma"/>
      <w:sz w:val="16"/>
      <w:szCs w:val="16"/>
      <w:lang w:val="sl-SI" w:eastAsia="sl-SI"/>
    </w:rPr>
  </w:style>
  <w:style w:type="paragraph" w:styleId="6">
    <w:name w:val="Body Text"/>
    <w:basedOn w:val="1"/>
    <w:link w:val="21"/>
    <w:uiPriority w:val="0"/>
    <w:pPr>
      <w:pBdr>
        <w:bottom w:val="single" w:color="auto" w:sz="12" w:space="1"/>
      </w:pBdr>
      <w:spacing w:line="240" w:lineRule="auto"/>
      <w:jc w:val="center"/>
    </w:pPr>
    <w:rPr>
      <w:rFonts w:ascii="Century Gothic" w:hAnsi="Century Gothic" w:eastAsia="SimSun" w:cs="Century Gothic"/>
      <w:b/>
      <w:bCs/>
      <w:sz w:val="22"/>
      <w:szCs w:val="22"/>
    </w:rPr>
  </w:style>
  <w:style w:type="character" w:styleId="7">
    <w:name w:val="annotation reference"/>
    <w:semiHidden/>
    <w:qFormat/>
    <w:uiPriority w:val="0"/>
    <w:rPr>
      <w:rFonts w:cs="Times New Roman"/>
      <w:sz w:val="16"/>
      <w:szCs w:val="16"/>
    </w:rPr>
  </w:style>
  <w:style w:type="paragraph" w:styleId="8">
    <w:name w:val="Document Map"/>
    <w:basedOn w:val="1"/>
    <w:link w:val="16"/>
    <w:uiPriority w:val="0"/>
    <w:rPr>
      <w:rFonts w:ascii="Tahoma" w:hAnsi="Tahoma" w:cs="Tahoma"/>
      <w:sz w:val="16"/>
      <w:szCs w:val="16"/>
    </w:rPr>
  </w:style>
  <w:style w:type="character" w:styleId="9">
    <w:name w:val="FollowedHyperlink"/>
    <w:qFormat/>
    <w:uiPriority w:val="0"/>
    <w:rPr>
      <w:color w:val="800080"/>
      <w:u w:val="single"/>
    </w:rPr>
  </w:style>
  <w:style w:type="paragraph" w:styleId="10">
    <w:name w:val="footer"/>
    <w:basedOn w:val="1"/>
    <w:semiHidden/>
    <w:uiPriority w:val="0"/>
    <w:pPr>
      <w:tabs>
        <w:tab w:val="center" w:pos="4320"/>
        <w:tab w:val="right" w:pos="8640"/>
      </w:tabs>
    </w:pPr>
  </w:style>
  <w:style w:type="character" w:styleId="11">
    <w:name w:val="footnote reference"/>
    <w:semiHidden/>
    <w:uiPriority w:val="0"/>
    <w:rPr>
      <w:vertAlign w:val="superscript"/>
    </w:rPr>
  </w:style>
  <w:style w:type="paragraph" w:styleId="12">
    <w:name w:val="footnote text"/>
    <w:basedOn w:val="1"/>
    <w:semiHidden/>
    <w:qFormat/>
    <w:uiPriority w:val="0"/>
    <w:rPr>
      <w:szCs w:val="20"/>
    </w:rPr>
  </w:style>
  <w:style w:type="paragraph" w:styleId="13">
    <w:name w:val="header"/>
    <w:basedOn w:val="1"/>
    <w:uiPriority w:val="0"/>
    <w:pPr>
      <w:tabs>
        <w:tab w:val="center" w:pos="4320"/>
        <w:tab w:val="right" w:pos="8640"/>
      </w:tabs>
    </w:pPr>
  </w:style>
  <w:style w:type="character" w:styleId="14">
    <w:name w:val="Hyperlink"/>
    <w:qFormat/>
    <w:uiPriority w:val="0"/>
    <w:rPr>
      <w:rFonts w:cs="Times New Roman"/>
      <w:color w:val="0000FF"/>
      <w:u w:val="single"/>
    </w:rPr>
  </w:style>
  <w:style w:type="table" w:styleId="1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6">
    <w:name w:val="Zgradba dokumenta Znak"/>
    <w:link w:val="8"/>
    <w:locked/>
    <w:uiPriority w:val="0"/>
    <w:rPr>
      <w:rFonts w:ascii="Tahoma" w:hAnsi="Tahoma" w:cs="Tahoma"/>
      <w:sz w:val="16"/>
      <w:szCs w:val="16"/>
      <w:lang w:val="en-US" w:eastAsia="en-US"/>
    </w:rPr>
  </w:style>
  <w:style w:type="paragraph" w:customStyle="1" w:styleId="17">
    <w:name w:val="datum številka"/>
    <w:basedOn w:val="1"/>
    <w:qFormat/>
    <w:uiPriority w:val="0"/>
    <w:pPr>
      <w:tabs>
        <w:tab w:val="left" w:pos="1701"/>
      </w:tabs>
    </w:pPr>
    <w:rPr>
      <w:szCs w:val="20"/>
      <w:lang w:val="sl-SI" w:eastAsia="sl-SI"/>
    </w:rPr>
  </w:style>
  <w:style w:type="paragraph" w:customStyle="1" w:styleId="18">
    <w:name w:val="ZADEVA"/>
    <w:basedOn w:val="1"/>
    <w:qFormat/>
    <w:uiPriority w:val="0"/>
    <w:pPr>
      <w:tabs>
        <w:tab w:val="left" w:pos="1701"/>
      </w:tabs>
      <w:ind w:left="1701" w:hanging="1701"/>
    </w:pPr>
    <w:rPr>
      <w:b/>
      <w:lang w:val="it-IT"/>
    </w:rPr>
  </w:style>
  <w:style w:type="paragraph" w:customStyle="1" w:styleId="19">
    <w:name w:val="podpisi"/>
    <w:basedOn w:val="1"/>
    <w:qFormat/>
    <w:uiPriority w:val="0"/>
    <w:pPr>
      <w:tabs>
        <w:tab w:val="left" w:pos="3402"/>
      </w:tabs>
    </w:pPr>
    <w:rPr>
      <w:lang w:val="it-IT"/>
    </w:rPr>
  </w:style>
  <w:style w:type="paragraph" w:customStyle="1" w:styleId="20">
    <w:name w:val="Default"/>
    <w:qFormat/>
    <w:uiPriority w:val="0"/>
    <w:pPr>
      <w:autoSpaceDE w:val="0"/>
      <w:autoSpaceDN w:val="0"/>
      <w:adjustRightInd w:val="0"/>
    </w:pPr>
    <w:rPr>
      <w:rFonts w:ascii="Times New Roman" w:hAnsi="Times New Roman" w:eastAsia="Times New Roman" w:cs="Times New Roman"/>
      <w:color w:val="000000"/>
      <w:sz w:val="24"/>
      <w:szCs w:val="24"/>
      <w:lang w:val="sl-SI" w:eastAsia="sl-SI" w:bidi="ar-SA"/>
    </w:rPr>
  </w:style>
  <w:style w:type="character" w:customStyle="1" w:styleId="21">
    <w:name w:val="Telo besedila Znak"/>
    <w:link w:val="6"/>
    <w:qFormat/>
    <w:locked/>
    <w:uiPriority w:val="0"/>
    <w:rPr>
      <w:rFonts w:ascii="Century Gothic" w:hAnsi="Century Gothic" w:eastAsia="SimSun" w:cs="Century Gothic"/>
      <w:b/>
      <w:bCs/>
      <w:sz w:val="22"/>
      <w:szCs w:val="22"/>
      <w:lang w:val="en-US" w:eastAsia="en-US" w:bidi="ar-SA"/>
    </w:rPr>
  </w:style>
  <w:style w:type="character" w:customStyle="1" w:styleId="22">
    <w:name w:val="hps"/>
    <w:basedOn w:val="3"/>
    <w:qFormat/>
    <w:uiPriority w:val="0"/>
  </w:style>
  <w:style w:type="character" w:customStyle="1" w:styleId="23">
    <w:name w:val="atn"/>
    <w:basedOn w:val="3"/>
    <w:qFormat/>
    <w:uiPriority w:val="0"/>
  </w:style>
  <w:style w:type="character" w:customStyle="1" w:styleId="24">
    <w:name w:val="Nerazrešena omemba1"/>
    <w:basedOn w:val="3"/>
    <w:semiHidden/>
    <w:unhideWhenUsed/>
    <w:qFormat/>
    <w:uiPriority w:val="99"/>
    <w:rPr>
      <w:color w:val="605E5C"/>
      <w:shd w:val="clear" w:color="auto" w:fill="E1DFDD"/>
    </w:rPr>
  </w:style>
  <w:style w:type="paragraph" w:customStyle="1" w:styleId="25">
    <w:name w:val="Revision"/>
    <w:hidden/>
    <w:semiHidden/>
    <w:qFormat/>
    <w:uiPriority w:val="99"/>
    <w:rPr>
      <w:rFonts w:ascii="Arial" w:hAnsi="Arial" w:eastAsia="Times New Roman" w:cs="Times New Roman"/>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hyperlink" Target="http://www.iadb.org/en/inter-american-development-bank,2837.html" TargetMode="External"/><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AD7FF-A37D-4E6E-930C-D497140672FD}">
  <ds:schemaRefs/>
</ds:datastoreItem>
</file>

<file path=docProps/app.xml><?xml version="1.0" encoding="utf-8"?>
<Properties xmlns="http://schemas.openxmlformats.org/officeDocument/2006/extended-properties" xmlns:vt="http://schemas.openxmlformats.org/officeDocument/2006/docPropsVTypes">
  <Template>Normal</Template>
  <Company>Indea d.o.o.</Company>
  <Pages>2</Pages>
  <Words>595</Words>
  <Characters>3395</Characters>
  <Lines>28</Lines>
  <Paragraphs>7</Paragraphs>
  <TotalTime>4</TotalTime>
  <ScaleCrop>false</ScaleCrop>
  <LinksUpToDate>false</LinksUpToDate>
  <CharactersWithSpaces>3983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2024-01-18T11:01:00Z</dcterms:created>
  <dc:creator>Gorazd Odar</dc:creator>
  <cp:lastModifiedBy>tomaz.qznik</cp:lastModifiedBy>
  <cp:lastPrinted>2023-01-11T09:23:00Z</cp:lastPrinted>
  <dcterms:modified xsi:type="dcterms:W3CDTF">2024-01-26T11:04:09Z</dcterms:modified>
  <dc:title>Številka:</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C43ED2AD189F4196B1313D820763950E_13</vt:lpwstr>
  </property>
</Properties>
</file>