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"/>
        <w:gridCol w:w="567"/>
        <w:gridCol w:w="902"/>
        <w:gridCol w:w="1980"/>
        <w:gridCol w:w="540"/>
        <w:gridCol w:w="1044"/>
      </w:tblGrid>
      <w:tr w:rsidR="00075BC3" w14:paraId="566696DD" w14:textId="77777777" w:rsidTr="004D536A">
        <w:tc>
          <w:tcPr>
            <w:tcW w:w="3614" w:type="dxa"/>
            <w:tcBorders>
              <w:right w:val="single" w:sz="2" w:space="0" w:color="auto"/>
            </w:tcBorders>
          </w:tcPr>
          <w:p w14:paraId="08DB49C6" w14:textId="77777777" w:rsidR="00075BC3" w:rsidRPr="008C776D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9E959" w14:textId="33554A9E" w:rsidR="00075BC3" w:rsidRPr="008C776D" w:rsidRDefault="004D536A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69F2EC" w14:textId="5D3DAF01" w:rsidR="00075BC3" w:rsidRPr="008C776D" w:rsidRDefault="004D536A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</w:p>
        </w:tc>
        <w:tc>
          <w:tcPr>
            <w:tcW w:w="9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F750" w14:textId="5D176912" w:rsidR="00075BC3" w:rsidRPr="008C776D" w:rsidRDefault="004D536A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2025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14:paraId="6A549F03" w14:textId="77777777" w:rsidR="00075BC3" w:rsidRPr="004D536A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r w:rsidRPr="004D536A">
              <w:rPr>
                <w:rFonts w:ascii="Arial" w:hAnsi="Arial"/>
                <w:sz w:val="18"/>
              </w:rPr>
              <w:t>Deadline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6525F5" w14:textId="3B89732D" w:rsidR="00075BC3" w:rsidRPr="004D536A" w:rsidRDefault="004D536A" w:rsidP="00744E7C">
            <w:pPr>
              <w:rPr>
                <w:rFonts w:ascii="Arial" w:hAnsi="Arial"/>
                <w:sz w:val="18"/>
              </w:rPr>
            </w:pPr>
            <w:r w:rsidRPr="004D536A"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0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6098" w14:textId="00B0B697" w:rsidR="00075BC3" w:rsidRPr="008C776D" w:rsidRDefault="004D536A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04 2025</w:t>
            </w:r>
          </w:p>
        </w:tc>
      </w:tr>
    </w:tbl>
    <w:p w14:paraId="38B67F7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744E7C" w14:paraId="2C8EA055" w14:textId="77777777" w:rsidTr="00744E7C">
        <w:trPr>
          <w:cantSplit/>
        </w:trPr>
        <w:tc>
          <w:tcPr>
            <w:tcW w:w="2055" w:type="dxa"/>
          </w:tcPr>
          <w:p w14:paraId="4C45CB21" w14:textId="77777777" w:rsidR="00744E7C" w:rsidRDefault="00744E7C" w:rsidP="00744E7C">
            <w:pPr>
              <w:pStyle w:val="Titre8"/>
              <w:rPr>
                <w:u w:val="none"/>
              </w:rPr>
            </w:pPr>
            <w:r>
              <w:rPr>
                <w:u w:val="none"/>
              </w:rPr>
              <w:t>CONTACT</w:t>
            </w:r>
          </w:p>
        </w:tc>
      </w:tr>
    </w:tbl>
    <w:p w14:paraId="76A9B391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276"/>
        <w:gridCol w:w="2977"/>
      </w:tblGrid>
      <w:tr w:rsidR="00744E7C" w14:paraId="62F2435A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675AC7F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BF0" w14:textId="1B6BC037" w:rsidR="00744E7C" w:rsidRPr="007E7CC0" w:rsidRDefault="004D536A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European Dynamics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6064AD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D6C" w14:textId="1D4A57A2" w:rsidR="00744E7C" w:rsidRPr="007E7CC0" w:rsidRDefault="004D536A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R&amp;D department</w:t>
            </w:r>
          </w:p>
        </w:tc>
      </w:tr>
      <w:tr w:rsidR="00B372DE" w14:paraId="035C0541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030EB99A" w14:textId="77777777" w:rsidR="00B372DE" w:rsidRDefault="00B372DE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D9E" w14:textId="6F3294E7" w:rsidR="00B372DE" w:rsidRPr="00506A63" w:rsidRDefault="004D536A" w:rsidP="006E3C2D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Dr. Caroline Barelle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F88AD8" w14:textId="77777777" w:rsidR="00B372DE" w:rsidRDefault="00B372DE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EEC" w14:textId="0D6526F1" w:rsidR="00B372DE" w:rsidRPr="007E7CC0" w:rsidRDefault="004D536A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Caroline.barelle@eurodyn.com</w:t>
            </w:r>
          </w:p>
        </w:tc>
      </w:tr>
      <w:tr w:rsidR="006C1BCB" w14:paraId="1559DA6C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7C42493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1BF" w14:textId="6F217931" w:rsidR="006C1BCB" w:rsidRPr="007E7CC0" w:rsidRDefault="004D536A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FB79E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12F" w14:textId="1114FC0D" w:rsidR="006C1BCB" w:rsidRPr="007E7CC0" w:rsidRDefault="004D536A" w:rsidP="00744E7C">
            <w:pPr>
              <w:rPr>
                <w:rFonts w:ascii="Arial" w:hAnsi="Arial"/>
                <w:sz w:val="20"/>
              </w:rPr>
            </w:pPr>
            <w:r w:rsidRPr="004D536A">
              <w:rPr>
                <w:rFonts w:ascii="Arial" w:hAnsi="Arial"/>
                <w:sz w:val="20"/>
              </w:rPr>
              <w:t>https://www.eurodyn.com/</w:t>
            </w:r>
          </w:p>
        </w:tc>
      </w:tr>
      <w:tr w:rsidR="006C1BCB" w14:paraId="5293DB75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331D2C9D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28A" w14:textId="328E8E99" w:rsidR="006C1BCB" w:rsidRPr="007E7CC0" w:rsidRDefault="004D536A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7C20E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14:paraId="4406C3D7" w14:textId="77777777" w:rsidR="006C1BCB" w:rsidRDefault="006C1BCB" w:rsidP="00744E7C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0D56F4DE" w14:textId="77777777" w:rsidR="004710FF" w:rsidRDefault="004710FF" w:rsidP="00744E7C"/>
    <w:tbl>
      <w:tblPr>
        <w:tblW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4710FF" w14:paraId="06DB73D5" w14:textId="77777777" w:rsidTr="004710FF">
        <w:trPr>
          <w:trHeight w:val="3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890" w14:textId="77777777" w:rsidR="004710FF" w:rsidRDefault="004710FF" w:rsidP="0031157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</w:rPr>
              <w:t>Organisation type</w:t>
            </w:r>
          </w:p>
        </w:tc>
      </w:tr>
    </w:tbl>
    <w:p w14:paraId="2BF76BDA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2552"/>
        <w:gridCol w:w="2409"/>
      </w:tblGrid>
      <w:tr w:rsidR="004710FF" w14:paraId="2685A08A" w14:textId="77777777" w:rsidTr="00311578">
        <w:trPr>
          <w:trHeight w:val="6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149E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 organisation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4C1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8EF6119" w14:textId="05194499" w:rsidR="004710FF" w:rsidRDefault="00075BC3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4710F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4710FF">
              <w:rPr>
                <w:rFonts w:ascii="Arial" w:hAnsi="Arial"/>
                <w:sz w:val="20"/>
              </w:rPr>
              <w:t>Research Organisation</w:t>
            </w:r>
          </w:p>
          <w:p w14:paraId="526CE102" w14:textId="77777777" w:rsidR="00065E85" w:rsidRDefault="00065E85" w:rsidP="00311578">
            <w:pPr>
              <w:rPr>
                <w:rFonts w:ascii="Arial" w:hAnsi="Arial"/>
                <w:sz w:val="20"/>
              </w:rPr>
            </w:pPr>
          </w:p>
          <w:p w14:paraId="3600FD44" w14:textId="76D93BEE" w:rsidR="00065E85" w:rsidRDefault="00F34A63" w:rsidP="00065E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sz w:val="20"/>
              </w:rPr>
              <w:t xml:space="preserve"> </w:t>
            </w:r>
            <w:r w:rsidR="00065E85">
              <w:rPr>
                <w:rFonts w:ascii="Arial" w:hAnsi="Arial"/>
                <w:sz w:val="20"/>
              </w:rPr>
              <w:t xml:space="preserve"> University</w:t>
            </w:r>
          </w:p>
          <w:p w14:paraId="5F00F6FD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3102738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Company</w:t>
            </w:r>
          </w:p>
          <w:p w14:paraId="5DBD6AFB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6BDFEA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328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Is your company a Small and Medium Sized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0"/>
                  </w:rPr>
                  <w:t>Enterprise</w:t>
                </w:r>
              </w:smartTag>
            </w:smartTag>
            <w:r w:rsidR="00C47A08">
              <w:rPr>
                <w:rFonts w:ascii="Arial" w:hAnsi="Arial"/>
                <w:b/>
                <w:sz w:val="20"/>
              </w:rPr>
              <w:t xml:space="preserve"> (SME*</w:t>
            </w:r>
            <w:r>
              <w:rPr>
                <w:rFonts w:ascii="Arial" w:hAnsi="Arial"/>
                <w:b/>
                <w:sz w:val="20"/>
              </w:rPr>
              <w:t>)?</w:t>
            </w:r>
          </w:p>
          <w:p w14:paraId="59F1866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  <w:p w14:paraId="21BD47EE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employees:</w:t>
            </w:r>
          </w:p>
          <w:p w14:paraId="757D3645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7F9D6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645881D9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27A4C62" w14:textId="5252ABD5" w:rsidR="004710FF" w:rsidRDefault="004710FF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 w:rsidR="00EB691A"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 xml:space="preserve">      </w:t>
            </w:r>
            <w:r w:rsidR="00075BC3"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075BC3"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="00075BC3"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="00075BC3"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="00075BC3"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bookmarkEnd w:id="0"/>
            <w:r w:rsidR="00EB691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18D10A52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</w:tbl>
    <w:p w14:paraId="6F6CA32D" w14:textId="77777777" w:rsidR="004710FF" w:rsidRDefault="004710FF" w:rsidP="00744E7C"/>
    <w:p w14:paraId="35BCD568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Your enterprise is an SME if:</w:t>
      </w:r>
    </w:p>
    <w:p w14:paraId="2853CB87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engaged in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economic activity</w:t>
      </w:r>
    </w:p>
    <w:p w14:paraId="31B3BE3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less than 250 employees</w:t>
      </w:r>
    </w:p>
    <w:p w14:paraId="57959C26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either an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annual turnover not exceeding €50M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or </w:t>
      </w:r>
      <w:proofErr w:type="gramStart"/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</w:t>
      </w:r>
      <w:proofErr w:type="gramEnd"/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balance sheet total not exceeding €43M</w:t>
      </w:r>
    </w:p>
    <w:p w14:paraId="219438E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autonomous</w:t>
      </w:r>
    </w:p>
    <w:p w14:paraId="4E58646A" w14:textId="77777777" w:rsidR="004710FF" w:rsidRDefault="004710FF" w:rsidP="00B372DE">
      <w:pPr>
        <w:autoSpaceDE w:val="0"/>
        <w:autoSpaceDN w:val="0"/>
        <w:adjustRightInd w:val="0"/>
      </w:pPr>
      <w:r>
        <w:rPr>
          <w:rFonts w:ascii="Helv" w:hAnsi="Helv" w:cs="Helv"/>
          <w:i/>
          <w:iCs/>
          <w:color w:val="000000"/>
          <w:sz w:val="20"/>
        </w:rPr>
        <w:t>For the definition of SMEs, look at:</w:t>
      </w:r>
      <w:r>
        <w:rPr>
          <w:rFonts w:ascii="Helv" w:hAnsi="Helv" w:cs="Helv"/>
          <w:iCs/>
          <w:color w:val="000000"/>
          <w:sz w:val="20"/>
        </w:rPr>
        <w:t xml:space="preserve"> </w:t>
      </w:r>
      <w:hyperlink r:id="rId8" w:history="1">
        <w:r w:rsidR="00B372DE" w:rsidRPr="005F3742">
          <w:rPr>
            <w:rStyle w:val="Lienhypertexte"/>
            <w:rFonts w:ascii="Helv" w:hAnsi="Helv" w:cs="Helv"/>
            <w:i/>
            <w:iCs/>
            <w:sz w:val="20"/>
          </w:rPr>
          <w:t>http://ec.europa.eu/growth/smes/business-friendly-environment/sme-definition_en</w:t>
        </w:r>
      </w:hyperlink>
      <w:r w:rsidR="00B372DE">
        <w:rPr>
          <w:rFonts w:ascii="Helv" w:hAnsi="Helv" w:cs="Helv"/>
          <w:i/>
          <w:iCs/>
          <w:color w:val="000000"/>
          <w:sz w:val="20"/>
        </w:rPr>
        <w:t xml:space="preserve"> </w:t>
      </w:r>
    </w:p>
    <w:p w14:paraId="30111691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A4C1F" w14:paraId="334AC3CC" w14:textId="77777777" w:rsidTr="006C1BCB">
        <w:trPr>
          <w:cantSplit/>
          <w:trHeight w:val="6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D46" w14:textId="77777777" w:rsidR="00AA4C1F" w:rsidRDefault="00503438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Short </w:t>
            </w:r>
            <w:r w:rsidR="006C1BCB">
              <w:rPr>
                <w:rFonts w:ascii="Arial" w:hAnsi="Arial"/>
                <w:b/>
                <w:sz w:val="20"/>
              </w:rPr>
              <w:t>introduction of key areas of institute’s research:</w:t>
            </w:r>
          </w:p>
          <w:p w14:paraId="5C876CAD" w14:textId="77777777" w:rsidR="008A329C" w:rsidRDefault="008A329C" w:rsidP="00311578">
            <w:pPr>
              <w:rPr>
                <w:rFonts w:ascii="Arial" w:hAnsi="Arial"/>
                <w:sz w:val="16"/>
              </w:rPr>
            </w:pPr>
          </w:p>
          <w:p w14:paraId="3421CE33" w14:textId="77777777" w:rsidR="00EE6BAD" w:rsidRPr="00EE6BAD" w:rsidRDefault="0014192A" w:rsidP="00EE6BAD">
            <w:pPr>
              <w:rPr>
                <w:rFonts w:ascii="Arial" w:hAnsi="Arial"/>
                <w:color w:val="000000"/>
                <w:sz w:val="20"/>
                <w:lang w:val="fr-FR"/>
              </w:rPr>
            </w:pPr>
            <w:r w:rsidRPr="0014192A"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European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Dynamics (ED)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focuses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its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research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and innovation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activities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on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advanced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Information and Communication Technologies (ICT),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particularly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in the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fields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of </w:t>
            </w:r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e-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Government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, e-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Health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, e-Business, ICT Security, 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Semantic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Technologies, and Workflow Management</w:t>
            </w:r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. The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company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designs and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develops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state-of-the-art software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systems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and services for web, intranet, and mobile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environments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emphasizing</w:t>
            </w:r>
            <w:proofErr w:type="spellEnd"/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open architectures, service-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oriented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systems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(SOA), and 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secure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cloud-</w:t>
            </w:r>
            <w:proofErr w:type="spellStart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based</w:t>
            </w:r>
            <w:proofErr w:type="spellEnd"/>
            <w:r w:rsidR="00EE6BAD"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solutions</w:t>
            </w:r>
            <w:r w:rsidR="00EE6BAD" w:rsidRPr="00EE6BAD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</w:p>
          <w:p w14:paraId="0FF03952" w14:textId="77777777" w:rsidR="00EE6BAD" w:rsidRPr="00EE6BAD" w:rsidRDefault="00EE6BAD" w:rsidP="00EE6BAD">
            <w:pPr>
              <w:rPr>
                <w:rFonts w:ascii="Arial" w:hAnsi="Arial"/>
                <w:color w:val="000000"/>
                <w:sz w:val="20"/>
                <w:lang w:val="fr-FR"/>
              </w:rPr>
            </w:pP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ED has extensive expertise in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semantic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support and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ontology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development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content and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knowledge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management, and the design of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interoperable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platforms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across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complex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administrative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domains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(e.g., taxation,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intellectual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property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justice, and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health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). It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also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conducts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research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on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ICT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security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middleware solutions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and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broadband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services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supporting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both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proprietary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and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open-source software (OSS)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initiatives.</w:t>
            </w:r>
          </w:p>
          <w:p w14:paraId="0DD3BA83" w14:textId="119E65D4" w:rsidR="00EE6BAD" w:rsidRPr="00EE6BAD" w:rsidRDefault="00EE6BAD" w:rsidP="00EE6BAD">
            <w:pPr>
              <w:rPr>
                <w:rFonts w:ascii="Arial" w:hAnsi="Arial"/>
                <w:color w:val="000000"/>
                <w:sz w:val="20"/>
                <w:lang w:val="fr-FR"/>
              </w:rPr>
            </w:pP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In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recent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years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ED has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contributed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to EU-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funded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research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projects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such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as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INCISIVE in the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health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domain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combining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3F2A3A" w:rsidRPr="003F2A3A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federated</w:t>
            </w:r>
            <w:proofErr w:type="spellEnd"/>
            <w:r w:rsidR="003F2A3A" w:rsidRPr="003F2A3A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3F2A3A" w:rsidRPr="003F2A3A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learning</w:t>
            </w:r>
            <w:proofErr w:type="spellEnd"/>
            <w:r w:rsidR="003F2A3A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artificial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intelligence,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imaging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, and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decision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-support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tools</w:t>
            </w:r>
            <w:proofErr w:type="spellEnd"/>
            <w:r w:rsidR="003F2A3A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for cancer management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. The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company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also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engages in the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design and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implementation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of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integrated</w:t>
            </w:r>
            <w:proofErr w:type="spellEnd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systems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for data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warehousing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semantic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web interfaces, and multi-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tiered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architectures, </w:t>
            </w:r>
            <w:proofErr w:type="spellStart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including</w:t>
            </w:r>
            <w:proofErr w:type="spellEnd"/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 xml:space="preserve"> </w:t>
            </w:r>
            <w:r w:rsidRPr="00EE6BAD">
              <w:rPr>
                <w:rFonts w:ascii="Arial" w:hAnsi="Arial"/>
                <w:b/>
                <w:bCs/>
                <w:color w:val="000000"/>
                <w:sz w:val="20"/>
                <w:lang w:val="fr-FR"/>
              </w:rPr>
              <w:t>web services, ESB, and cloud-native solutions</w:t>
            </w:r>
            <w:r w:rsidRPr="00EE6BAD">
              <w:rPr>
                <w:rFonts w:ascii="Arial" w:hAnsi="Arial"/>
                <w:color w:val="000000"/>
                <w:sz w:val="20"/>
                <w:lang w:val="fr-FR"/>
              </w:rPr>
              <w:t>.</w:t>
            </w:r>
          </w:p>
          <w:p w14:paraId="58E70F82" w14:textId="0EA6DE27" w:rsidR="008A329C" w:rsidRPr="0014192A" w:rsidRDefault="008A329C" w:rsidP="0014192A">
            <w:pPr>
              <w:rPr>
                <w:rFonts w:ascii="Arial" w:hAnsi="Arial"/>
                <w:color w:val="000000"/>
                <w:sz w:val="20"/>
                <w:rtl/>
              </w:rPr>
            </w:pPr>
          </w:p>
        </w:tc>
      </w:tr>
    </w:tbl>
    <w:p w14:paraId="56462D38" w14:textId="77777777" w:rsidR="004710FF" w:rsidRDefault="004710FF" w:rsidP="00744E7C"/>
    <w:p w14:paraId="5D419B74" w14:textId="77777777" w:rsidR="00AA4C1F" w:rsidRDefault="00AA4C1F" w:rsidP="00744E7C"/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7272"/>
      </w:tblGrid>
      <w:tr w:rsidR="00AA4C1F" w14:paraId="64A9255A" w14:textId="77777777" w:rsidTr="00FB352E">
        <w:trPr>
          <w:cantSplit/>
          <w:trHeight w:val="1156"/>
        </w:trPr>
        <w:tc>
          <w:tcPr>
            <w:tcW w:w="2376" w:type="dxa"/>
          </w:tcPr>
          <w:p w14:paraId="38F59060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Former participation in an FP European project?</w:t>
            </w:r>
          </w:p>
          <w:p w14:paraId="3FB0878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724CC313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title / Acronym:</w:t>
            </w:r>
          </w:p>
          <w:p w14:paraId="05E4991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2DD2552F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Activities performed: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4A3" w14:textId="77777777" w:rsidR="00AA4C1F" w:rsidRDefault="00AA4C1F" w:rsidP="00311578">
            <w:pPr>
              <w:rPr>
                <w:rFonts w:ascii="Arial" w:hAnsi="Arial"/>
                <w:color w:val="FF0000"/>
                <w:sz w:val="20"/>
              </w:rPr>
            </w:pPr>
          </w:p>
          <w:p w14:paraId="12F695E2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20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20"/>
              </w:rPr>
            </w:r>
            <w:r>
              <w:rPr>
                <w:rFonts w:ascii="Arial" w:hAnsi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18E0AB89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</w:p>
          <w:p w14:paraId="37D717FC" w14:textId="77777777" w:rsidR="00EB691A" w:rsidRDefault="00EB691A" w:rsidP="008C2455">
            <w:pPr>
              <w:rPr>
                <w:rFonts w:ascii="Arial" w:hAnsi="Arial"/>
                <w:sz w:val="20"/>
              </w:rPr>
            </w:pPr>
          </w:p>
          <w:p w14:paraId="2FCE5E93" w14:textId="77777777" w:rsidR="003F2A3A" w:rsidRDefault="003F2A3A" w:rsidP="008C24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Last project of interest in this case:  H2020 INCISIVE project </w:t>
            </w:r>
          </w:p>
          <w:p w14:paraId="2A7BC85C" w14:textId="77777777" w:rsidR="003F2A3A" w:rsidRDefault="003F2A3A" w:rsidP="008C2455">
            <w:pPr>
              <w:rPr>
                <w:rFonts w:ascii="Arial" w:hAnsi="Arial"/>
                <w:sz w:val="20"/>
              </w:rPr>
            </w:pPr>
          </w:p>
          <w:p w14:paraId="7E217597" w14:textId="44B3FED2" w:rsidR="003F2A3A" w:rsidRDefault="003F2A3A" w:rsidP="008C2455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Developpement</w:t>
            </w:r>
            <w:proofErr w:type="spellEnd"/>
            <w:r>
              <w:rPr>
                <w:rFonts w:ascii="Arial" w:hAnsi="Arial"/>
                <w:sz w:val="20"/>
              </w:rPr>
              <w:t xml:space="preserve"> of a federated repository of Health data including images for 4 cancer types (lung, breast, colorectal and prostate), development of common data </w:t>
            </w:r>
            <w:proofErr w:type="gramStart"/>
            <w:r>
              <w:rPr>
                <w:rFonts w:ascii="Arial" w:hAnsi="Arial"/>
                <w:sz w:val="20"/>
              </w:rPr>
              <w:t>model,  contribution</w:t>
            </w:r>
            <w:proofErr w:type="gramEnd"/>
            <w:r>
              <w:rPr>
                <w:rFonts w:ascii="Arial" w:hAnsi="Arial"/>
                <w:sz w:val="20"/>
              </w:rPr>
              <w:t xml:space="preserve"> to the federated learning approach.</w:t>
            </w:r>
          </w:p>
        </w:tc>
      </w:tr>
    </w:tbl>
    <w:p w14:paraId="480AE581" w14:textId="77777777" w:rsidR="00744E7C" w:rsidRDefault="00744E7C" w:rsidP="00744E7C">
      <w:pPr>
        <w:rPr>
          <w:rFonts w:ascii="Arial" w:hAnsi="Arial"/>
          <w:sz w:val="18"/>
        </w:rPr>
      </w:pPr>
    </w:p>
    <w:p w14:paraId="651370B6" w14:textId="77777777" w:rsidR="00B21861" w:rsidRDefault="00B21861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8"/>
      </w:tblGrid>
      <w:tr w:rsidR="00993780" w14:paraId="336E7A62" w14:textId="77777777" w:rsidTr="00993780">
        <w:tc>
          <w:tcPr>
            <w:tcW w:w="3588" w:type="dxa"/>
          </w:tcPr>
          <w:p w14:paraId="35D7D0B5" w14:textId="77777777" w:rsidR="00993780" w:rsidRDefault="00993780" w:rsidP="009937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Expertise / Commitment offered</w:t>
            </w:r>
          </w:p>
        </w:tc>
      </w:tr>
    </w:tbl>
    <w:p w14:paraId="3059D825" w14:textId="77777777" w:rsidR="00F5586F" w:rsidRDefault="00F5586F" w:rsidP="00F5586F">
      <w:pPr>
        <w:rPr>
          <w:rFonts w:ascii="Arial" w:hAnsi="Arial"/>
          <w:sz w:val="20"/>
        </w:rPr>
      </w:pPr>
    </w:p>
    <w:p w14:paraId="01C5D56B" w14:textId="77777777" w:rsidR="00993780" w:rsidRDefault="00993780" w:rsidP="00F5586F">
      <w:pPr>
        <w:rPr>
          <w:rFonts w:ascii="Arial" w:hAnsi="Arial"/>
          <w:sz w:val="20"/>
        </w:rPr>
      </w:pPr>
    </w:p>
    <w:p w14:paraId="1D991269" w14:textId="77777777" w:rsidR="00993780" w:rsidRDefault="00993780" w:rsidP="00F5586F">
      <w:pPr>
        <w:rPr>
          <w:rFonts w:ascii="Arial" w:hAnsi="Arial"/>
          <w:sz w:val="20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6808"/>
      </w:tblGrid>
      <w:tr w:rsidR="00F5586F" w14:paraId="0B7A3BEC" w14:textId="77777777" w:rsidTr="00311578">
        <w:trPr>
          <w:gridBefore w:val="1"/>
          <w:wBefore w:w="38" w:type="dxa"/>
        </w:trPr>
        <w:tc>
          <w:tcPr>
            <w:tcW w:w="2622" w:type="dxa"/>
            <w:tcBorders>
              <w:right w:val="single" w:sz="4" w:space="0" w:color="auto"/>
            </w:tcBorders>
          </w:tcPr>
          <w:p w14:paraId="146403E4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109" w14:textId="041CFD13" w:rsidR="001C387E" w:rsidRPr="008A329C" w:rsidRDefault="001C387E" w:rsidP="00190CE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F5586F" w14:paraId="78BFAA5C" w14:textId="77777777" w:rsidTr="00311578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</w:tcPr>
          <w:p w14:paraId="6B59824E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63E8E5A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45E10099" w14:textId="77777777" w:rsidTr="00311578">
        <w:trPr>
          <w:gridBefore w:val="1"/>
          <w:wBefore w:w="38" w:type="dxa"/>
          <w:trHeight w:val="1022"/>
        </w:trPr>
        <w:tc>
          <w:tcPr>
            <w:tcW w:w="2622" w:type="dxa"/>
            <w:tcBorders>
              <w:right w:val="single" w:sz="4" w:space="0" w:color="auto"/>
            </w:tcBorders>
          </w:tcPr>
          <w:p w14:paraId="6BF77212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Keywords specifying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170D" w14:textId="66FDA2A3" w:rsidR="00F5586F" w:rsidRPr="00605274" w:rsidRDefault="003F2A3A" w:rsidP="0076307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ICT, software development, federated repository, …</w:t>
            </w:r>
          </w:p>
        </w:tc>
      </w:tr>
      <w:tr w:rsidR="00F5586F" w14:paraId="432897F9" w14:textId="77777777" w:rsidTr="006C1BCB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3E0D43B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433AD5C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0BC04994" w14:textId="77777777" w:rsidTr="00311578">
        <w:trPr>
          <w:gridBefore w:val="1"/>
          <w:wBefore w:w="38" w:type="dxa"/>
          <w:trHeight w:val="662"/>
        </w:trPr>
        <w:tc>
          <w:tcPr>
            <w:tcW w:w="2622" w:type="dxa"/>
          </w:tcPr>
          <w:p w14:paraId="075B1363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Commitment offered: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DF8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A9E94FE" w14:textId="77777777" w:rsidR="00F5586F" w:rsidRDefault="008A329C" w:rsidP="00311578">
            <w:pPr>
              <w:rPr>
                <w:rFonts w:ascii="Arial" w:hAnsi="Arial"/>
                <w:sz w:val="16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Research   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F5586F">
              <w:rPr>
                <w:rFonts w:ascii="Arial" w:hAnsi="Arial"/>
                <w:color w:val="FF0000"/>
                <w:sz w:val="16"/>
              </w:rPr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Demonstration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F5586F">
              <w:rPr>
                <w:rFonts w:ascii="Arial" w:hAnsi="Arial"/>
                <w:color w:val="FF0000"/>
                <w:sz w:val="16"/>
              </w:rPr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Training </w:t>
            </w:r>
          </w:p>
          <w:p w14:paraId="70C69C34" w14:textId="77777777" w:rsidR="00F5586F" w:rsidRPr="00FA2601" w:rsidRDefault="00F5586F" w:rsidP="00311578">
            <w:pPr>
              <w:rPr>
                <w:rFonts w:ascii="Arial" w:hAnsi="Arial"/>
                <w:color w:val="FF0000"/>
                <w:sz w:val="16"/>
                <w:lang w:val="en-US" w:bidi="he-IL"/>
              </w:rPr>
            </w:pPr>
          </w:p>
          <w:p w14:paraId="0E635F1F" w14:textId="77777777" w:rsidR="00F5586F" w:rsidRDefault="00EB691A" w:rsidP="00311578">
            <w:pPr>
              <w:rPr>
                <w:rFonts w:ascii="Arial" w:hAnsi="Arial"/>
                <w:sz w:val="16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Technology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F5586F">
              <w:rPr>
                <w:rFonts w:ascii="Arial" w:hAnsi="Arial"/>
                <w:color w:val="FF0000"/>
                <w:sz w:val="16"/>
              </w:rPr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Dissemination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F5586F">
              <w:rPr>
                <w:rFonts w:ascii="Arial" w:hAnsi="Arial"/>
                <w:color w:val="FF0000"/>
                <w:sz w:val="16"/>
              </w:rPr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 </w:t>
            </w:r>
            <w:r w:rsidR="00F5586F">
              <w:rPr>
                <w:rFonts w:ascii="Arial" w:hAnsi="Arial"/>
                <w:sz w:val="16"/>
              </w:rPr>
              <w:t xml:space="preserve">Other: </w:t>
            </w:r>
          </w:p>
          <w:p w14:paraId="1544CEDA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6AD37812" w14:textId="77777777" w:rsidR="00F5586F" w:rsidRDefault="00F5586F" w:rsidP="00F5586F">
      <w:pPr>
        <w:rPr>
          <w:rFonts w:ascii="Arial" w:hAnsi="Arial"/>
          <w:sz w:val="20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317"/>
        <w:gridCol w:w="2126"/>
        <w:gridCol w:w="1418"/>
      </w:tblGrid>
      <w:tr w:rsidR="00A35C54" w14:paraId="0D5D5824" w14:textId="77777777" w:rsidTr="00A35C54">
        <w:trPr>
          <w:trHeight w:val="301"/>
        </w:trPr>
        <w:tc>
          <w:tcPr>
            <w:tcW w:w="2006" w:type="dxa"/>
            <w:tcBorders>
              <w:right w:val="single" w:sz="2" w:space="0" w:color="auto"/>
            </w:tcBorders>
          </w:tcPr>
          <w:p w14:paraId="4DB24B6A" w14:textId="77777777" w:rsidR="00A35C54" w:rsidRPr="00605274" w:rsidRDefault="00A35C54" w:rsidP="00311578">
            <w:pPr>
              <w:rPr>
                <w:rFonts w:ascii="Arial" w:hAnsi="Arial"/>
                <w:color w:val="FF0000"/>
                <w:sz w:val="20"/>
              </w:rPr>
            </w:pPr>
            <w:r w:rsidRPr="00605274">
              <w:rPr>
                <w:rFonts w:ascii="Arial" w:hAnsi="Arial"/>
                <w:b/>
                <w:sz w:val="20"/>
              </w:rPr>
              <w:t>Interested in participation in project types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0B88" w14:textId="208BF4AA" w:rsidR="00A35C54" w:rsidRDefault="00075BC3" w:rsidP="00065E85">
            <w:pPr>
              <w:rPr>
                <w:rFonts w:ascii="Arial" w:hAnsi="Arial"/>
                <w:color w:val="FF0000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/>
                <w:color w:val="FF0000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Research &amp; Innovation Action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3B12" w14:textId="28F8B224" w:rsidR="00A35C54" w:rsidRDefault="00055CF9" w:rsidP="00065E85">
            <w:pPr>
              <w:rPr>
                <w:rFonts w:ascii="Arial" w:hAnsi="Arial"/>
                <w:color w:val="FF0000"/>
                <w:sz w:val="16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F323" w14:textId="048CA39E" w:rsidR="00A35C54" w:rsidRDefault="00055CF9" w:rsidP="00065E85">
            <w:pPr>
              <w:rPr>
                <w:rFonts w:ascii="Arial" w:hAnsi="Arial"/>
                <w:color w:val="FF0000"/>
                <w:sz w:val="16"/>
              </w:rPr>
            </w:pP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3F2A3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221DBE">
              <w:rPr>
                <w:rFonts w:ascii="Arial" w:hAnsi="Arial" w:cs="Arial"/>
                <w:sz w:val="18"/>
                <w:szCs w:val="18"/>
              </w:rPr>
              <w:t>EIC Pathfinder</w:t>
            </w:r>
          </w:p>
        </w:tc>
      </w:tr>
    </w:tbl>
    <w:p w14:paraId="510B090F" w14:textId="77777777" w:rsidR="00FE6DAC" w:rsidRDefault="00FE6DA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744E7C" w14:paraId="2F2E054D" w14:textId="77777777" w:rsidTr="00160C08">
        <w:trPr>
          <w:cantSplit/>
        </w:trPr>
        <w:tc>
          <w:tcPr>
            <w:tcW w:w="6910" w:type="dxa"/>
          </w:tcPr>
          <w:p w14:paraId="2F677631" w14:textId="77777777" w:rsidR="00744E7C" w:rsidRDefault="00E226B6" w:rsidP="000E5E45">
            <w:pPr>
              <w:pStyle w:val="Titre8"/>
              <w:rPr>
                <w:u w:val="none"/>
              </w:rPr>
            </w:pPr>
            <w:r>
              <w:rPr>
                <w:u w:val="none"/>
              </w:rPr>
              <w:t>Work Programm</w:t>
            </w:r>
            <w:r w:rsidR="00C356F0">
              <w:rPr>
                <w:u w:val="none"/>
              </w:rPr>
              <w:t xml:space="preserve">e </w:t>
            </w:r>
            <w:r>
              <w:rPr>
                <w:u w:val="none"/>
              </w:rPr>
              <w:t>r</w:t>
            </w:r>
            <w:r w:rsidR="005B4B39">
              <w:rPr>
                <w:u w:val="none"/>
              </w:rPr>
              <w:t>esearch</w:t>
            </w:r>
            <w:r w:rsidR="00541FC7">
              <w:rPr>
                <w:u w:val="none"/>
              </w:rPr>
              <w:t xml:space="preserve"> a</w:t>
            </w:r>
            <w:r w:rsidR="005B4B39">
              <w:rPr>
                <w:u w:val="none"/>
              </w:rPr>
              <w:t>rea</w:t>
            </w:r>
            <w:r>
              <w:rPr>
                <w:u w:val="none"/>
              </w:rPr>
              <w:t xml:space="preserve">s: </w:t>
            </w:r>
            <w:r w:rsidR="00160C08">
              <w:rPr>
                <w:u w:val="none"/>
              </w:rPr>
              <w:t>indicate your interest</w:t>
            </w:r>
          </w:p>
        </w:tc>
      </w:tr>
    </w:tbl>
    <w:p w14:paraId="138E2A1A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516CD" w14:paraId="0B546DD3" w14:textId="77777777" w:rsidTr="003516CD">
        <w:trPr>
          <w:cantSplit/>
          <w:trHeight w:val="397"/>
        </w:trPr>
        <w:tc>
          <w:tcPr>
            <w:tcW w:w="9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D3BA" w14:textId="0A0DC1D4" w:rsidR="003516CD" w:rsidRPr="00D21D9C" w:rsidRDefault="00193E1D" w:rsidP="000E5E45">
            <w:pPr>
              <w:rPr>
                <w:rFonts w:ascii="Arial" w:hAnsi="Arial"/>
                <w:bCs/>
              </w:rPr>
            </w:pPr>
            <w:r w:rsidRPr="00D21D9C">
              <w:rPr>
                <w:rFonts w:ascii="Arial" w:hAnsi="Arial"/>
                <w:bCs/>
              </w:rPr>
              <w:t>Health</w:t>
            </w:r>
            <w:r w:rsidR="003F2A3A">
              <w:rPr>
                <w:rFonts w:ascii="Arial" w:hAnsi="Arial"/>
                <w:bCs/>
              </w:rPr>
              <w:t xml:space="preserve"> domain/ Cancer treatment management/ Health data spaces/ Clinical AI</w:t>
            </w:r>
          </w:p>
        </w:tc>
      </w:tr>
    </w:tbl>
    <w:p w14:paraId="4105F6AB" w14:textId="77777777" w:rsidR="00665A27" w:rsidRPr="00665A27" w:rsidRDefault="00665A27" w:rsidP="00665A27">
      <w:pPr>
        <w:rPr>
          <w:rFonts w:ascii="Cambria" w:hAnsi="Cambria"/>
          <w:b/>
          <w:bCs/>
          <w:vanish/>
          <w:sz w:val="26"/>
          <w:szCs w:val="26"/>
        </w:rPr>
      </w:pPr>
    </w:p>
    <w:p w14:paraId="1CD4CEBF" w14:textId="77777777" w:rsidR="008501D4" w:rsidRDefault="00A35C54">
      <w:r>
        <w:t xml:space="preserve"> </w:t>
      </w:r>
    </w:p>
    <w:p w14:paraId="2B0C39F3" w14:textId="77777777" w:rsidR="00D91AA7" w:rsidRDefault="00D91AA7" w:rsidP="00D91AA7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91AA7" w14:paraId="03E9AC46" w14:textId="77777777" w:rsidTr="00311578">
        <w:trPr>
          <w:cantSplit/>
          <w:trHeight w:val="36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A79" w14:textId="77777777" w:rsidR="00F75088" w:rsidRDefault="00D91AA7" w:rsidP="00311578">
            <w:pPr>
              <w:rPr>
                <w:rFonts w:ascii="Arial" w:hAnsi="Arial"/>
                <w:b/>
                <w:color w:val="FF0000"/>
                <w:sz w:val="16"/>
              </w:rPr>
            </w:pPr>
            <w:r w:rsidRPr="00CC16E0">
              <w:rPr>
                <w:rFonts w:ascii="Arial" w:hAnsi="Arial"/>
                <w:b/>
              </w:rPr>
              <w:t>Call</w:t>
            </w:r>
            <w:r>
              <w:rPr>
                <w:rFonts w:ascii="Arial" w:hAnsi="Arial"/>
                <w:b/>
              </w:rPr>
              <w:t xml:space="preserve"> t</w:t>
            </w:r>
            <w:r w:rsidRPr="00CC16E0">
              <w:rPr>
                <w:rFonts w:ascii="Arial" w:hAnsi="Arial"/>
                <w:b/>
              </w:rPr>
              <w:t>opic(s):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21251A77" w14:textId="77777777" w:rsidR="00F75088" w:rsidRDefault="00F75088" w:rsidP="00311578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53126641" w14:textId="344FE44A" w:rsidR="00D91AA7" w:rsidRDefault="003F2A3A" w:rsidP="00311578">
            <w:pPr>
              <w:rPr>
                <w:rFonts w:ascii="Arial" w:hAnsi="Arial"/>
              </w:rPr>
            </w:pPr>
            <w:r w:rsidRPr="003F2A3A">
              <w:rPr>
                <w:rFonts w:ascii="Arial" w:hAnsi="Arial"/>
              </w:rPr>
              <w:t>[HORIZON-JU-IHI-2025-09-04] — [Boosting innovation through exploitation of digitalisation and data exchange in healthcare]</w:t>
            </w:r>
          </w:p>
        </w:tc>
      </w:tr>
    </w:tbl>
    <w:p w14:paraId="3682B90B" w14:textId="77777777" w:rsidR="00680C6F" w:rsidRDefault="00680C6F" w:rsidP="00744E7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CF77DB" w14:paraId="375D1A08" w14:textId="77777777" w:rsidTr="00311578">
        <w:trPr>
          <w:trHeight w:val="961"/>
        </w:trPr>
        <w:tc>
          <w:tcPr>
            <w:tcW w:w="2055" w:type="dxa"/>
            <w:tcBorders>
              <w:right w:val="single" w:sz="8" w:space="0" w:color="auto"/>
            </w:tcBorders>
          </w:tcPr>
          <w:p w14:paraId="5001BD00" w14:textId="0CD6C0BB" w:rsidR="00CF77DB" w:rsidRDefault="00CF77DB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FA6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 xml:space="preserve">In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framework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the HORIZON-JU-IHI-2025-09-04-single-stage call,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we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together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with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approximately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17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partners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including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among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other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IT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Researchers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/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developers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researchers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AI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researchers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Social innovation experts,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Hospitals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are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preparing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proposal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submission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.</w:t>
            </w:r>
          </w:p>
          <w:p w14:paraId="74F65E1F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 xml:space="preserve">Link to the </w:t>
            </w: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call:</w:t>
            </w:r>
            <w:proofErr w:type="gramEnd"/>
          </w:p>
          <w:p w14:paraId="2A85BBA8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hyperlink r:id="rId9" w:tgtFrame="_blank" w:history="1">
              <w:r w:rsidRPr="00907F7A">
                <w:rPr>
                  <w:rStyle w:val="Lienhypertexte"/>
                  <w:rFonts w:ascii="Arial" w:hAnsi="Arial"/>
                  <w:color w:val="auto"/>
                  <w:sz w:val="20"/>
                  <w:lang w:val="fr-FR"/>
                </w:rPr>
                <w:t>https://ec.europa.eu/info/funding-tenders/opportunities/portal/screen/opportunities/topic-details/HORIZON-JU-IHI-2025-09-04-single-stage</w:t>
              </w:r>
            </w:hyperlink>
          </w:p>
          <w:p w14:paraId="677CE130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> </w:t>
            </w:r>
          </w:p>
          <w:p w14:paraId="3CD7E161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proofErr w:type="spellStart"/>
            <w:r w:rsidRPr="00907F7A">
              <w:rPr>
                <w:rFonts w:ascii="Arial" w:hAnsi="Arial"/>
                <w:b/>
                <w:bCs/>
                <w:sz w:val="20"/>
                <w:lang w:val="fr-FR"/>
              </w:rPr>
              <w:t>Expected</w:t>
            </w:r>
            <w:proofErr w:type="spellEnd"/>
            <w:r w:rsidRPr="00907F7A">
              <w:rPr>
                <w:rFonts w:ascii="Arial" w:hAnsi="Arial"/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Pr="00907F7A">
              <w:rPr>
                <w:rFonts w:ascii="Arial" w:hAnsi="Arial"/>
                <w:b/>
                <w:bCs/>
                <w:sz w:val="20"/>
                <w:lang w:val="fr-FR"/>
              </w:rPr>
              <w:t>impact:</w:t>
            </w:r>
            <w:proofErr w:type="gramEnd"/>
          </w:p>
          <w:p w14:paraId="40EE1224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 xml:space="preserve">The actions to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be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funded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under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this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topic are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expected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achieve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the </w:t>
            </w: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following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:</w:t>
            </w:r>
            <w:proofErr w:type="gramEnd"/>
          </w:p>
          <w:p w14:paraId="083AC8FF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 xml:space="preserve">a)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contribute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 one or more of IHI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JU’s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expected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impacts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linked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 IHI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JU’s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Specific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Objective 4, as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reflected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 the IHI JU SRIA, </w:t>
            </w: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i.e.:</w:t>
            </w:r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-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wider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availability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interoperable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quality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data,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respecting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FAIR (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findable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accessible,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interoperable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reusable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) </w:t>
            </w: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principles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 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facilitating</w:t>
            </w:r>
            <w:proofErr w:type="spellEnd"/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research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development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integrated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products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</w:t>
            </w: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services;</w:t>
            </w:r>
            <w:proofErr w:type="gramEnd"/>
          </w:p>
          <w:p w14:paraId="523D90EA" w14:textId="77777777" w:rsidR="00907F7A" w:rsidRPr="00907F7A" w:rsidRDefault="00907F7A" w:rsidP="00907F7A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improved</w:t>
            </w:r>
            <w:proofErr w:type="spellEnd"/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insight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into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the real-life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behaviour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</w:t>
            </w: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challenges</w:t>
            </w:r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of patients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with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complex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chronic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diseases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co-morbidities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thanks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 m-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e-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technologies;</w:t>
            </w:r>
            <w:proofErr w:type="gramEnd"/>
          </w:p>
          <w:p w14:paraId="1EED3647" w14:textId="77777777" w:rsidR="00907F7A" w:rsidRPr="00907F7A" w:rsidRDefault="00907F7A" w:rsidP="00907F7A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advanced</w:t>
            </w:r>
            <w:proofErr w:type="spellEnd"/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analytics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/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artificial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intelligence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supporting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R&amp;I,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resulting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 a)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clinical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decision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support for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increased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accuracy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diagnosis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efficacy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treatment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;</w:t>
            </w:r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</w:p>
          <w:p w14:paraId="0D481065" w14:textId="77777777" w:rsidR="00907F7A" w:rsidRPr="00907F7A" w:rsidRDefault="00907F7A" w:rsidP="00907F7A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lang w:val="fr-FR"/>
              </w:rPr>
            </w:pPr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shorter</w:t>
            </w:r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times to </w:t>
            </w: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market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;</w:t>
            </w:r>
            <w:proofErr w:type="gramEnd"/>
          </w:p>
          <w:p w14:paraId="20A9BAED" w14:textId="77777777" w:rsidR="00907F7A" w:rsidRPr="00907F7A" w:rsidRDefault="00907F7A" w:rsidP="00907F7A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wider</w:t>
            </w:r>
            <w:proofErr w:type="spellEnd"/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availability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personalised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interventions to end-</w:t>
            </w: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t>users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;</w:t>
            </w:r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</w:p>
          <w:p w14:paraId="2A74CD79" w14:textId="77777777" w:rsidR="00907F7A" w:rsidRPr="00907F7A" w:rsidRDefault="00907F7A" w:rsidP="00907F7A">
            <w:pPr>
              <w:numPr>
                <w:ilvl w:val="0"/>
                <w:numId w:val="9"/>
              </w:numPr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 w:rsidRPr="00907F7A">
              <w:rPr>
                <w:rFonts w:ascii="Arial" w:hAnsi="Arial"/>
                <w:sz w:val="20"/>
                <w:lang w:val="fr-FR"/>
              </w:rPr>
              <w:lastRenderedPageBreak/>
              <w:t>better</w:t>
            </w:r>
            <w:proofErr w:type="spellEnd"/>
            <w:proofErr w:type="gram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evidence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added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value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from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new digital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and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artificial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intelligence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tools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including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reduced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risk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bias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due to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improved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methodologies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.</w:t>
            </w:r>
          </w:p>
          <w:p w14:paraId="5DFB5759" w14:textId="77777777" w:rsidR="00907F7A" w:rsidRPr="00907F7A" w:rsidRDefault="00907F7A" w:rsidP="00907F7A">
            <w:pPr>
              <w:rPr>
                <w:rFonts w:ascii="Arial" w:hAnsi="Arial"/>
                <w:sz w:val="20"/>
                <w:lang w:val="fr-FR"/>
              </w:rPr>
            </w:pPr>
            <w:r w:rsidRPr="00907F7A">
              <w:rPr>
                <w:rFonts w:ascii="Arial" w:hAnsi="Arial"/>
                <w:sz w:val="20"/>
                <w:lang w:val="fr-FR"/>
              </w:rPr>
              <w:t xml:space="preserve">b.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contribute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to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strengthening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competitiveness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EU’s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industry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via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increased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economic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activity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in the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development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technologies, in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particular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integrated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solutions,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thus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fostering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European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technological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leadership and the digital transformation of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our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0"/>
                <w:lang w:val="fr-FR"/>
              </w:rPr>
              <w:t>societies</w:t>
            </w:r>
            <w:proofErr w:type="spellEnd"/>
            <w:r w:rsidRPr="00907F7A">
              <w:rPr>
                <w:rFonts w:ascii="Arial" w:hAnsi="Arial"/>
                <w:sz w:val="20"/>
                <w:lang w:val="fr-FR"/>
              </w:rPr>
              <w:t>.</w:t>
            </w:r>
          </w:p>
          <w:p w14:paraId="77529CFA" w14:textId="2F4BDFD5" w:rsidR="00CF77DB" w:rsidRDefault="00CF77DB" w:rsidP="00311578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09BC7E73" w14:textId="77777777" w:rsidR="00680C6F" w:rsidRDefault="00680C6F" w:rsidP="00744E7C"/>
    <w:p w14:paraId="1F4BB794" w14:textId="77777777" w:rsidR="003516CD" w:rsidRDefault="003516CD" w:rsidP="00744E7C">
      <w:pPr>
        <w:rPr>
          <w:rFonts w:ascii="Arial" w:hAnsi="Arial"/>
          <w:sz w:val="18"/>
        </w:rPr>
      </w:pPr>
    </w:p>
    <w:p w14:paraId="36CE6C47" w14:textId="77777777" w:rsidR="00CA3ADC" w:rsidRDefault="00CA3AD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744E7C" w14:paraId="6F134427" w14:textId="77777777" w:rsidTr="00744E7C">
        <w:trPr>
          <w:cantSplit/>
          <w:trHeight w:val="397"/>
        </w:trPr>
        <w:tc>
          <w:tcPr>
            <w:tcW w:w="6591" w:type="dxa"/>
            <w:vAlign w:val="center"/>
          </w:tcPr>
          <w:p w14:paraId="281CAC85" w14:textId="77777777" w:rsidR="00744E7C" w:rsidRDefault="00744E7C" w:rsidP="00744E7C">
            <w:pPr>
              <w:pStyle w:val="Titre8"/>
              <w:rPr>
                <w:u w:val="none"/>
              </w:rPr>
            </w:pPr>
            <w:r>
              <w:rPr>
                <w:u w:val="none"/>
              </w:rPr>
              <w:t xml:space="preserve">Profile of </w:t>
            </w:r>
            <w:r w:rsidR="003516CD">
              <w:rPr>
                <w:u w:val="none"/>
              </w:rPr>
              <w:t>partner</w:t>
            </w:r>
            <w:r>
              <w:rPr>
                <w:u w:val="none"/>
              </w:rPr>
              <w:t xml:space="preserve"> sought</w:t>
            </w:r>
          </w:p>
        </w:tc>
      </w:tr>
    </w:tbl>
    <w:p w14:paraId="512A8434" w14:textId="77777777" w:rsidR="00744E7C" w:rsidRDefault="00744E7C" w:rsidP="00744E7C">
      <w:pPr>
        <w:rPr>
          <w:rFonts w:ascii="Arial" w:hAnsi="Arial"/>
          <w:sz w:val="18"/>
        </w:rPr>
      </w:pPr>
    </w:p>
    <w:p w14:paraId="671E986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985"/>
        <w:gridCol w:w="2268"/>
      </w:tblGrid>
      <w:tr w:rsidR="00744E7C" w14:paraId="7559A27F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1BCA9020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sz w:val="20"/>
              </w:rPr>
              <w:t>Role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DF23" w14:textId="3FDD6489" w:rsidR="00744E7C" w:rsidRDefault="00CE20E4" w:rsidP="00744E7C">
            <w:pPr>
              <w:rPr>
                <w:rFonts w:ascii="Arial" w:hAnsi="Arial"/>
                <w:color w:val="FF0000"/>
              </w:rPr>
            </w:pP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744E7C">
              <w:rPr>
                <w:rFonts w:ascii="Arial" w:hAnsi="Arial"/>
                <w:color w:val="FF0000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0E71" w14:textId="1A67CDC3" w:rsidR="00744E7C" w:rsidRDefault="00CE20E4" w:rsidP="00744E7C">
            <w:pPr>
              <w:rPr>
                <w:rFonts w:ascii="Arial" w:hAnsi="Arial"/>
                <w:color w:val="FF0000"/>
                <w:sz w:val="16"/>
              </w:rPr>
            </w:pP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research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DEE5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training</w:t>
            </w:r>
          </w:p>
        </w:tc>
      </w:tr>
      <w:tr w:rsidR="00744E7C" w14:paraId="66E83AD5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0ABBE1E5" w14:textId="77777777" w:rsidR="00744E7C" w:rsidRDefault="00744E7C" w:rsidP="00744E7C"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CD0E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dissemination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B22" w14:textId="4105C213" w:rsidR="00744E7C" w:rsidRDefault="00075BC3" w:rsidP="00744E7C">
            <w:pPr>
              <w:rPr>
                <w:rFonts w:ascii="Arial" w:hAnsi="Arial"/>
                <w:color w:val="FF0000"/>
                <w:sz w:val="16"/>
              </w:rPr>
            </w:pP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20"/>
              </w:rPr>
              <w:t>demonstration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BA85" w14:textId="3E7C1745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>
              <w:rPr>
                <w:rFonts w:ascii="Arial" w:hAnsi="Arial"/>
                <w:color w:val="FF0000"/>
                <w:sz w:val="16"/>
              </w:rPr>
            </w:r>
            <w:r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 xml:space="preserve">other </w:t>
            </w:r>
            <w:r w:rsidR="00907F7A">
              <w:rPr>
                <w:rFonts w:ascii="Arial" w:hAnsi="Arial"/>
                <w:sz w:val="18"/>
              </w:rPr>
              <w:t>:</w:t>
            </w:r>
            <w:proofErr w:type="gramEnd"/>
            <w:r w:rsidR="00907F7A">
              <w:rPr>
                <w:rFonts w:ascii="Arial" w:hAnsi="Arial"/>
                <w:sz w:val="18"/>
              </w:rPr>
              <w:t xml:space="preserve"> </w:t>
            </w:r>
            <w:r w:rsidR="00907F7A" w:rsidRPr="00907F7A">
              <w:rPr>
                <w:rFonts w:ascii="Arial" w:hAnsi="Arial"/>
                <w:b/>
                <w:bCs/>
                <w:sz w:val="18"/>
                <w:highlight w:val="green"/>
              </w:rPr>
              <w:t>Can contribute to IKOP</w:t>
            </w:r>
            <w:r w:rsidRPr="00907F7A">
              <w:rPr>
                <w:rFonts w:ascii="Arial" w:hAnsi="Arial"/>
                <w:b/>
                <w:bCs/>
                <w:sz w:val="18"/>
              </w:rPr>
              <w:t>___</w:t>
            </w:r>
            <w:r>
              <w:rPr>
                <w:rFonts w:ascii="Arial" w:hAnsi="Arial"/>
                <w:sz w:val="18"/>
              </w:rPr>
              <w:t>________</w:t>
            </w:r>
          </w:p>
        </w:tc>
      </w:tr>
      <w:tr w:rsidR="00744E7C" w14:paraId="2B8349B4" w14:textId="77777777" w:rsidTr="00660103">
        <w:trPr>
          <w:trHeight w:val="397"/>
        </w:trPr>
        <w:tc>
          <w:tcPr>
            <w:tcW w:w="2055" w:type="dxa"/>
            <w:tcBorders>
              <w:right w:val="single" w:sz="8" w:space="0" w:color="auto"/>
            </w:tcBorders>
          </w:tcPr>
          <w:p w14:paraId="7625F84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1F7FC" w14:textId="7A2B4870" w:rsidR="00744E7C" w:rsidRPr="00150E27" w:rsidRDefault="00DD5BB0" w:rsidP="00EB691A">
            <w:pPr>
              <w:rPr>
                <w:rFonts w:ascii="Arial" w:hAnsi="Arial"/>
                <w:sz w:val="16"/>
              </w:rPr>
            </w:pP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instrText xml:space="preserve"> FORMCHECKBOX </w:instrText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separate"/>
            </w:r>
            <w:r w:rsidRPr="00907F7A">
              <w:rPr>
                <w:rFonts w:ascii="Arial" w:hAnsi="Arial"/>
                <w:color w:val="FF0000"/>
                <w:sz w:val="16"/>
                <w:highlight w:val="green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907F7A">
              <w:rPr>
                <w:rFonts w:ascii="Arial" w:hAnsi="Arial"/>
                <w:sz w:val="16"/>
              </w:rPr>
              <w:t>EU Member State</w:t>
            </w:r>
          </w:p>
        </w:tc>
      </w:tr>
      <w:tr w:rsidR="00744E7C" w14:paraId="0B10C619" w14:textId="77777777" w:rsidTr="00660103">
        <w:trPr>
          <w:trHeight w:val="2203"/>
        </w:trPr>
        <w:tc>
          <w:tcPr>
            <w:tcW w:w="2055" w:type="dxa"/>
            <w:tcBorders>
              <w:right w:val="single" w:sz="8" w:space="0" w:color="auto"/>
            </w:tcBorders>
          </w:tcPr>
          <w:p w14:paraId="66AF38FC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Expertise required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5F8C" w14:textId="1D4DE8A3" w:rsidR="00907F7A" w:rsidRPr="00907F7A" w:rsidRDefault="00907F7A" w:rsidP="00907F7A">
            <w:pPr>
              <w:ind w:left="360"/>
              <w:rPr>
                <w:rFonts w:ascii="Arial" w:hAnsi="Arial"/>
                <w:sz w:val="24"/>
                <w:szCs w:val="24"/>
                <w:lang w:val="fr-FR"/>
              </w:rPr>
            </w:pPr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To move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forward</w:t>
            </w:r>
            <w:proofErr w:type="spellEnd"/>
            <w:r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lang w:val="fr-FR"/>
              </w:rPr>
              <w:t>with</w:t>
            </w:r>
            <w:proofErr w:type="spellEnd"/>
            <w:r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lang w:val="fr-FR"/>
              </w:rPr>
              <w:t>our</w:t>
            </w:r>
            <w:proofErr w:type="spellEnd"/>
            <w:r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  <w:lang w:val="fr-FR"/>
              </w:rPr>
              <w:t>proposal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we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actively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looking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for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private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partners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who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could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provide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in-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kind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contributions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(IKOP)</w:t>
            </w:r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and have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experience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in the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following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areas:</w:t>
            </w:r>
            <w:proofErr w:type="gramEnd"/>
          </w:p>
          <w:p w14:paraId="22C13648" w14:textId="011D1D46" w:rsidR="00907F7A" w:rsidRP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Health</w:t>
            </w:r>
            <w:proofErr w:type="spellEnd"/>
            <w:r>
              <w:rPr>
                <w:rFonts w:ascii="Arial" w:hAnsi="Arial"/>
                <w:sz w:val="24"/>
                <w:szCs w:val="24"/>
                <w:lang w:val="fr-FR"/>
              </w:rPr>
              <w:t>/Cancer</w:t>
            </w:r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domain</w:t>
            </w:r>
            <w:proofErr w:type="spellEnd"/>
          </w:p>
          <w:p w14:paraId="2C42142F" w14:textId="77777777" w:rsidR="00907F7A" w:rsidRP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data </w:t>
            </w: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spaces</w:t>
            </w:r>
            <w:proofErr w:type="spellEnd"/>
          </w:p>
          <w:p w14:paraId="7E0D0FA9" w14:textId="77777777" w:rsidR="00907F7A" w:rsidRP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Clinical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AI</w:t>
            </w:r>
          </w:p>
          <w:p w14:paraId="561EB643" w14:textId="77777777" w:rsid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proofErr w:type="spellStart"/>
            <w:r w:rsidRPr="00907F7A">
              <w:rPr>
                <w:rFonts w:ascii="Arial" w:hAnsi="Arial"/>
                <w:sz w:val="24"/>
                <w:szCs w:val="24"/>
                <w:lang w:val="fr-FR"/>
              </w:rPr>
              <w:t>Health</w:t>
            </w:r>
            <w:proofErr w:type="spellEnd"/>
            <w:r w:rsidRPr="00907F7A">
              <w:rPr>
                <w:rFonts w:ascii="Arial" w:hAnsi="Arial"/>
                <w:sz w:val="24"/>
                <w:szCs w:val="24"/>
                <w:lang w:val="fr-FR"/>
              </w:rPr>
              <w:t xml:space="preserve"> data harmonisation</w:t>
            </w:r>
          </w:p>
          <w:p w14:paraId="64E12C60" w14:textId="7EA03514" w:rsid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fr-FR"/>
              </w:rPr>
              <w:t>Health</w:t>
            </w:r>
            <w:proofErr w:type="spellEnd"/>
            <w:r>
              <w:rPr>
                <w:rFonts w:ascii="Arial" w:hAnsi="Arial"/>
                <w:sz w:val="24"/>
                <w:szCs w:val="24"/>
                <w:lang w:val="fr-FR"/>
              </w:rPr>
              <w:t xml:space="preserve"> data ontologies</w:t>
            </w:r>
          </w:p>
          <w:p w14:paraId="0C3A7E36" w14:textId="4BB8875B" w:rsidR="00907F7A" w:rsidRPr="00907F7A" w:rsidRDefault="00907F7A" w:rsidP="00907F7A">
            <w:pPr>
              <w:numPr>
                <w:ilvl w:val="0"/>
                <w:numId w:val="10"/>
              </w:numPr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FIRH</w:t>
            </w:r>
          </w:p>
          <w:p w14:paraId="08825558" w14:textId="64260CA1" w:rsidR="00907F7A" w:rsidRPr="00333AF7" w:rsidRDefault="00907F7A" w:rsidP="00333AF7">
            <w:pPr>
              <w:ind w:left="360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1D8C583E" w14:textId="77777777" w:rsidR="00A35C54" w:rsidRDefault="00A35C54" w:rsidP="00744E7C">
      <w:pPr>
        <w:rPr>
          <w:rFonts w:ascii="Arial" w:hAnsi="Arial"/>
          <w:b/>
          <w:sz w:val="24"/>
        </w:rPr>
      </w:pPr>
    </w:p>
    <w:p w14:paraId="2C220DFA" w14:textId="435147D3" w:rsidR="00915074" w:rsidRPr="005023F7" w:rsidRDefault="00744E7C">
      <w:r>
        <w:rPr>
          <w:rFonts w:ascii="Arial" w:hAnsi="Arial"/>
          <w:b/>
          <w:sz w:val="24"/>
        </w:rPr>
        <w:t xml:space="preserve">I agree with the publication of my contact data:      </w:t>
      </w:r>
      <w:r w:rsidR="00075BC3" w:rsidRPr="00907F7A">
        <w:rPr>
          <w:rFonts w:ascii="Arial" w:hAnsi="Arial"/>
          <w:color w:val="FF0000"/>
          <w:sz w:val="16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5BC3" w:rsidRPr="00907F7A">
        <w:rPr>
          <w:rFonts w:ascii="Arial" w:hAnsi="Arial"/>
          <w:color w:val="FF0000"/>
          <w:sz w:val="16"/>
          <w:highlight w:val="green"/>
        </w:rPr>
        <w:instrText xml:space="preserve"> FORMCHECKBOX </w:instrText>
      </w:r>
      <w:r w:rsidR="00075BC3" w:rsidRPr="00907F7A">
        <w:rPr>
          <w:rFonts w:ascii="Arial" w:hAnsi="Arial"/>
          <w:color w:val="FF0000"/>
          <w:sz w:val="16"/>
          <w:highlight w:val="green"/>
        </w:rPr>
      </w:r>
      <w:r w:rsidR="00075BC3" w:rsidRPr="00907F7A">
        <w:rPr>
          <w:rFonts w:ascii="Arial" w:hAnsi="Arial"/>
          <w:color w:val="FF0000"/>
          <w:sz w:val="16"/>
          <w:highlight w:val="green"/>
        </w:rPr>
        <w:fldChar w:fldCharType="separate"/>
      </w:r>
      <w:r w:rsidR="00075BC3" w:rsidRPr="00907F7A">
        <w:rPr>
          <w:rFonts w:ascii="Arial" w:hAnsi="Arial"/>
          <w:color w:val="FF0000"/>
          <w:sz w:val="16"/>
          <w:highlight w:val="green"/>
        </w:rPr>
        <w:fldChar w:fldCharType="end"/>
      </w:r>
      <w:r w:rsidR="00EB691A"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YES</w:t>
      </w:r>
      <w:r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>
        <w:rPr>
          <w:rFonts w:ascii="Arial" w:hAnsi="Arial"/>
          <w:color w:val="FF0000"/>
          <w:sz w:val="16"/>
        </w:rPr>
      </w:r>
      <w:r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</w:p>
    <w:sectPr w:rsidR="00915074" w:rsidRPr="005023F7" w:rsidSect="00485B32">
      <w:headerReference w:type="default" r:id="rId10"/>
      <w:footerReference w:type="default" r:id="rId11"/>
      <w:pgSz w:w="11906" w:h="16838" w:code="9"/>
      <w:pgMar w:top="1393" w:right="1418" w:bottom="1134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F98E" w14:textId="77777777" w:rsidR="00915E42" w:rsidRDefault="00915E42">
      <w:r>
        <w:separator/>
      </w:r>
    </w:p>
  </w:endnote>
  <w:endnote w:type="continuationSeparator" w:id="0">
    <w:p w14:paraId="764D48F6" w14:textId="77777777" w:rsidR="00915E42" w:rsidRDefault="009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CBAC" w14:textId="77777777" w:rsidR="00902616" w:rsidRDefault="00902616">
    <w:pPr>
      <w:pStyle w:val="Pieddepage"/>
      <w:jc w:val="center"/>
      <w:rPr>
        <w:rFonts w:ascii="Arial" w:hAnsi="Arial"/>
        <w:sz w:val="18"/>
      </w:rPr>
    </w:pPr>
  </w:p>
  <w:p w14:paraId="46DB682A" w14:textId="77777777" w:rsidR="00902616" w:rsidRDefault="009026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6654" w14:textId="77777777" w:rsidR="00915E42" w:rsidRDefault="00915E42">
      <w:r>
        <w:separator/>
      </w:r>
    </w:p>
  </w:footnote>
  <w:footnote w:type="continuationSeparator" w:id="0">
    <w:p w14:paraId="69BF5BE4" w14:textId="77777777" w:rsidR="00915E42" w:rsidRDefault="0091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0ACF" w14:textId="77777777" w:rsidR="00902616" w:rsidRDefault="00902616">
    <w:pPr>
      <w:pStyle w:val="En-tte"/>
      <w:rPr>
        <w:rFonts w:ascii="Arial" w:hAnsi="Arial" w:cs="Arial"/>
        <w:b/>
        <w:sz w:val="32"/>
        <w:szCs w:val="3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43"/>
      <w:gridCol w:w="4527"/>
    </w:tblGrid>
    <w:tr w:rsidR="00B372DE" w:rsidRPr="00A22F65" w14:paraId="766AD5C0" w14:textId="77777777" w:rsidTr="00A22F65">
      <w:tc>
        <w:tcPr>
          <w:tcW w:w="4605" w:type="dxa"/>
          <w:shd w:val="clear" w:color="auto" w:fill="auto"/>
        </w:tcPr>
        <w:p w14:paraId="434272CD" w14:textId="77777777" w:rsidR="00B372DE" w:rsidRPr="00A22F65" w:rsidRDefault="00B372DE" w:rsidP="00B372DE">
          <w:pPr>
            <w:pStyle w:val="En-tte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Partner Search Form </w:t>
          </w:r>
        </w:p>
        <w:p w14:paraId="673B06E0" w14:textId="77777777" w:rsidR="00B372DE" w:rsidRPr="00A22F65" w:rsidRDefault="00B372DE" w:rsidP="00B372DE">
          <w:pPr>
            <w:pStyle w:val="En-tte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Horizon </w:t>
          </w:r>
          <w:r w:rsidR="005F1D93">
            <w:rPr>
              <w:rFonts w:ascii="Arial" w:hAnsi="Arial" w:cs="Arial"/>
              <w:b/>
              <w:sz w:val="24"/>
              <w:szCs w:val="24"/>
            </w:rPr>
            <w:t>Europe</w:t>
          </w:r>
        </w:p>
        <w:p w14:paraId="5E83A87F" w14:textId="77777777" w:rsidR="00B372DE" w:rsidRPr="00A22F65" w:rsidRDefault="00B372DE" w:rsidP="00B372DE">
          <w:pPr>
            <w:pStyle w:val="En-tte"/>
            <w:rPr>
              <w:rFonts w:ascii="Arial" w:hAnsi="Arial" w:cs="Arial"/>
              <w:b/>
              <w:sz w:val="32"/>
              <w:szCs w:val="32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>Health</w:t>
          </w:r>
        </w:p>
      </w:tc>
      <w:tc>
        <w:tcPr>
          <w:tcW w:w="4605" w:type="dxa"/>
          <w:shd w:val="clear" w:color="auto" w:fill="auto"/>
        </w:tcPr>
        <w:p w14:paraId="7BE40A44" w14:textId="77777777" w:rsidR="00B372DE" w:rsidRPr="00A22F65" w:rsidRDefault="00B372DE" w:rsidP="00A22F65">
          <w:pPr>
            <w:pStyle w:val="En-tte"/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7B971B1C" w14:textId="77777777" w:rsidR="00147259" w:rsidRPr="00147259" w:rsidRDefault="00147259">
    <w:pPr>
      <w:pStyle w:val="En-tte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A54"/>
    <w:multiLevelType w:val="hybridMultilevel"/>
    <w:tmpl w:val="A2484D66"/>
    <w:lvl w:ilvl="0" w:tplc="9314F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A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08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1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5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B8A"/>
    <w:multiLevelType w:val="multilevel"/>
    <w:tmpl w:val="B246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7371A"/>
    <w:multiLevelType w:val="hybridMultilevel"/>
    <w:tmpl w:val="F394F6BC"/>
    <w:lvl w:ilvl="0" w:tplc="4BBCB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0A5"/>
    <w:multiLevelType w:val="hybridMultilevel"/>
    <w:tmpl w:val="7AD2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B1"/>
    <w:multiLevelType w:val="hybridMultilevel"/>
    <w:tmpl w:val="13A29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13CB"/>
    <w:multiLevelType w:val="hybridMultilevel"/>
    <w:tmpl w:val="F4309FB2"/>
    <w:lvl w:ilvl="0" w:tplc="037E4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C0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8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8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5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3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87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29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57CB"/>
    <w:multiLevelType w:val="hybridMultilevel"/>
    <w:tmpl w:val="9AFC2282"/>
    <w:lvl w:ilvl="0" w:tplc="4FFE5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2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D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2D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C7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2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4E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4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369E4"/>
    <w:multiLevelType w:val="hybridMultilevel"/>
    <w:tmpl w:val="5AF02D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lang w:val="it-IT"/>
      </w:rPr>
    </w:lvl>
    <w:lvl w:ilvl="1" w:tplc="04090003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8" w15:restartNumberingAfterBreak="0">
    <w:nsid w:val="6AF62554"/>
    <w:multiLevelType w:val="hybridMultilevel"/>
    <w:tmpl w:val="80AE002A"/>
    <w:lvl w:ilvl="0" w:tplc="C1FED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87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E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0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66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6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C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E52B3"/>
    <w:multiLevelType w:val="multilevel"/>
    <w:tmpl w:val="C6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854856">
    <w:abstractNumId w:val="6"/>
  </w:num>
  <w:num w:numId="2" w16cid:durableId="1437552881">
    <w:abstractNumId w:val="0"/>
  </w:num>
  <w:num w:numId="3" w16cid:durableId="1536845038">
    <w:abstractNumId w:val="5"/>
  </w:num>
  <w:num w:numId="4" w16cid:durableId="702635527">
    <w:abstractNumId w:val="8"/>
  </w:num>
  <w:num w:numId="5" w16cid:durableId="2020504780">
    <w:abstractNumId w:val="4"/>
  </w:num>
  <w:num w:numId="6" w16cid:durableId="1365709758">
    <w:abstractNumId w:val="7"/>
  </w:num>
  <w:num w:numId="7" w16cid:durableId="1801416354">
    <w:abstractNumId w:val="2"/>
  </w:num>
  <w:num w:numId="8" w16cid:durableId="1651641862">
    <w:abstractNumId w:val="3"/>
  </w:num>
  <w:num w:numId="9" w16cid:durableId="1917594421">
    <w:abstractNumId w:val="1"/>
  </w:num>
  <w:num w:numId="10" w16cid:durableId="1894077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7C"/>
    <w:rsid w:val="00037448"/>
    <w:rsid w:val="00047C65"/>
    <w:rsid w:val="00055CF9"/>
    <w:rsid w:val="00065E85"/>
    <w:rsid w:val="00073B6E"/>
    <w:rsid w:val="00075BC3"/>
    <w:rsid w:val="000A7747"/>
    <w:rsid w:val="000B1613"/>
    <w:rsid w:val="000D4D41"/>
    <w:rsid w:val="000E2CDB"/>
    <w:rsid w:val="000E5E45"/>
    <w:rsid w:val="000E776B"/>
    <w:rsid w:val="000F5C9C"/>
    <w:rsid w:val="00122383"/>
    <w:rsid w:val="0014192A"/>
    <w:rsid w:val="00146077"/>
    <w:rsid w:val="00147259"/>
    <w:rsid w:val="00150E27"/>
    <w:rsid w:val="00160C08"/>
    <w:rsid w:val="0016339F"/>
    <w:rsid w:val="0018131E"/>
    <w:rsid w:val="00190CEF"/>
    <w:rsid w:val="00193E1D"/>
    <w:rsid w:val="001A0180"/>
    <w:rsid w:val="001A71A6"/>
    <w:rsid w:val="001C387E"/>
    <w:rsid w:val="001D1E2A"/>
    <w:rsid w:val="001F030D"/>
    <w:rsid w:val="001F321D"/>
    <w:rsid w:val="0021036B"/>
    <w:rsid w:val="00221DBE"/>
    <w:rsid w:val="00232E28"/>
    <w:rsid w:val="00246DF8"/>
    <w:rsid w:val="0029000B"/>
    <w:rsid w:val="00297580"/>
    <w:rsid w:val="002C1033"/>
    <w:rsid w:val="002D446D"/>
    <w:rsid w:val="002E28DB"/>
    <w:rsid w:val="002E2938"/>
    <w:rsid w:val="002F0E71"/>
    <w:rsid w:val="00311578"/>
    <w:rsid w:val="00333AF7"/>
    <w:rsid w:val="003461D7"/>
    <w:rsid w:val="0034658A"/>
    <w:rsid w:val="003516CD"/>
    <w:rsid w:val="00372D31"/>
    <w:rsid w:val="00376178"/>
    <w:rsid w:val="00380C53"/>
    <w:rsid w:val="0038149B"/>
    <w:rsid w:val="003827B9"/>
    <w:rsid w:val="003924AB"/>
    <w:rsid w:val="003B2D19"/>
    <w:rsid w:val="003D13C7"/>
    <w:rsid w:val="003D1A05"/>
    <w:rsid w:val="003F2A3A"/>
    <w:rsid w:val="003F6986"/>
    <w:rsid w:val="004021F7"/>
    <w:rsid w:val="004052F0"/>
    <w:rsid w:val="004209A6"/>
    <w:rsid w:val="00425AC0"/>
    <w:rsid w:val="00445F7C"/>
    <w:rsid w:val="00453232"/>
    <w:rsid w:val="004710FF"/>
    <w:rsid w:val="00485B32"/>
    <w:rsid w:val="004D536A"/>
    <w:rsid w:val="004D5E3F"/>
    <w:rsid w:val="004F1EC6"/>
    <w:rsid w:val="005023F7"/>
    <w:rsid w:val="00503438"/>
    <w:rsid w:val="00506A63"/>
    <w:rsid w:val="00516A43"/>
    <w:rsid w:val="00541FC7"/>
    <w:rsid w:val="0055150D"/>
    <w:rsid w:val="0055435A"/>
    <w:rsid w:val="00556CD8"/>
    <w:rsid w:val="00575D06"/>
    <w:rsid w:val="005800C8"/>
    <w:rsid w:val="00583B3D"/>
    <w:rsid w:val="005B4B39"/>
    <w:rsid w:val="005C1FAC"/>
    <w:rsid w:val="005C23F0"/>
    <w:rsid w:val="005E219B"/>
    <w:rsid w:val="005F1D93"/>
    <w:rsid w:val="00605274"/>
    <w:rsid w:val="00617E8A"/>
    <w:rsid w:val="00641FCD"/>
    <w:rsid w:val="00647819"/>
    <w:rsid w:val="00651DB2"/>
    <w:rsid w:val="00660103"/>
    <w:rsid w:val="00665498"/>
    <w:rsid w:val="00665A27"/>
    <w:rsid w:val="00675767"/>
    <w:rsid w:val="00680C6F"/>
    <w:rsid w:val="006C1BCB"/>
    <w:rsid w:val="006C7247"/>
    <w:rsid w:val="006E3C2D"/>
    <w:rsid w:val="006F27E4"/>
    <w:rsid w:val="00712055"/>
    <w:rsid w:val="00714026"/>
    <w:rsid w:val="0071705F"/>
    <w:rsid w:val="00727B24"/>
    <w:rsid w:val="00743480"/>
    <w:rsid w:val="00744E7C"/>
    <w:rsid w:val="00763074"/>
    <w:rsid w:val="00776D3D"/>
    <w:rsid w:val="007E7CC0"/>
    <w:rsid w:val="00821EBC"/>
    <w:rsid w:val="00840575"/>
    <w:rsid w:val="008501D4"/>
    <w:rsid w:val="008A20B4"/>
    <w:rsid w:val="008A329C"/>
    <w:rsid w:val="008A4025"/>
    <w:rsid w:val="008C091B"/>
    <w:rsid w:val="008C2455"/>
    <w:rsid w:val="008C776D"/>
    <w:rsid w:val="008E7842"/>
    <w:rsid w:val="00902616"/>
    <w:rsid w:val="00907F7A"/>
    <w:rsid w:val="00915074"/>
    <w:rsid w:val="00915E42"/>
    <w:rsid w:val="009359CC"/>
    <w:rsid w:val="00987FD4"/>
    <w:rsid w:val="009910CA"/>
    <w:rsid w:val="00993780"/>
    <w:rsid w:val="009B4916"/>
    <w:rsid w:val="009C5BB6"/>
    <w:rsid w:val="009C6053"/>
    <w:rsid w:val="00A04E9A"/>
    <w:rsid w:val="00A11431"/>
    <w:rsid w:val="00A22F65"/>
    <w:rsid w:val="00A231EA"/>
    <w:rsid w:val="00A3397C"/>
    <w:rsid w:val="00A35C54"/>
    <w:rsid w:val="00AA4C1F"/>
    <w:rsid w:val="00AE4C47"/>
    <w:rsid w:val="00AF4858"/>
    <w:rsid w:val="00B01407"/>
    <w:rsid w:val="00B16B6C"/>
    <w:rsid w:val="00B2149F"/>
    <w:rsid w:val="00B21861"/>
    <w:rsid w:val="00B27D9D"/>
    <w:rsid w:val="00B372DE"/>
    <w:rsid w:val="00BF0E22"/>
    <w:rsid w:val="00C22EB0"/>
    <w:rsid w:val="00C356F0"/>
    <w:rsid w:val="00C47A08"/>
    <w:rsid w:val="00C47EBF"/>
    <w:rsid w:val="00C61C22"/>
    <w:rsid w:val="00C852EE"/>
    <w:rsid w:val="00C86622"/>
    <w:rsid w:val="00CA3ADC"/>
    <w:rsid w:val="00CB6B86"/>
    <w:rsid w:val="00CC3E4E"/>
    <w:rsid w:val="00CD2B68"/>
    <w:rsid w:val="00CE20E4"/>
    <w:rsid w:val="00CF77DB"/>
    <w:rsid w:val="00D074CC"/>
    <w:rsid w:val="00D21D9C"/>
    <w:rsid w:val="00D43701"/>
    <w:rsid w:val="00D4680F"/>
    <w:rsid w:val="00D56727"/>
    <w:rsid w:val="00D56CBA"/>
    <w:rsid w:val="00D716A0"/>
    <w:rsid w:val="00D75540"/>
    <w:rsid w:val="00D91AA7"/>
    <w:rsid w:val="00DA01BC"/>
    <w:rsid w:val="00DA3783"/>
    <w:rsid w:val="00DB091A"/>
    <w:rsid w:val="00DB1170"/>
    <w:rsid w:val="00DC4FE8"/>
    <w:rsid w:val="00DD5BB0"/>
    <w:rsid w:val="00DD797B"/>
    <w:rsid w:val="00DE2476"/>
    <w:rsid w:val="00E07A9B"/>
    <w:rsid w:val="00E223A4"/>
    <w:rsid w:val="00E226B6"/>
    <w:rsid w:val="00E31C74"/>
    <w:rsid w:val="00E33D9F"/>
    <w:rsid w:val="00E34368"/>
    <w:rsid w:val="00E47694"/>
    <w:rsid w:val="00E62E3E"/>
    <w:rsid w:val="00E62F7F"/>
    <w:rsid w:val="00E71F1E"/>
    <w:rsid w:val="00E7553E"/>
    <w:rsid w:val="00E774C8"/>
    <w:rsid w:val="00EB691A"/>
    <w:rsid w:val="00EE6BAD"/>
    <w:rsid w:val="00EF0B3D"/>
    <w:rsid w:val="00EF4913"/>
    <w:rsid w:val="00EF5B64"/>
    <w:rsid w:val="00F02BB9"/>
    <w:rsid w:val="00F34A63"/>
    <w:rsid w:val="00F34E60"/>
    <w:rsid w:val="00F5586F"/>
    <w:rsid w:val="00F75088"/>
    <w:rsid w:val="00F86D90"/>
    <w:rsid w:val="00FA2601"/>
    <w:rsid w:val="00FB352E"/>
    <w:rsid w:val="00FE6DA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6CACC27"/>
  <w15:chartTrackingRefBased/>
  <w15:docId w15:val="{BF49D8FE-9545-43FD-A9AA-F7CB26A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7DB"/>
    <w:rPr>
      <w:rFonts w:ascii="Amerigo BT" w:hAnsi="Amerigo BT"/>
      <w:sz w:val="22"/>
      <w:lang w:val="en-GB" w:eastAsia="nl-NL"/>
    </w:rPr>
  </w:style>
  <w:style w:type="paragraph" w:styleId="Titre1">
    <w:name w:val="heading 1"/>
    <w:basedOn w:val="Normal"/>
    <w:next w:val="Normal"/>
    <w:qFormat/>
    <w:rsid w:val="00744E7C"/>
    <w:pPr>
      <w:keepNext/>
      <w:jc w:val="center"/>
      <w:outlineLvl w:val="0"/>
    </w:pPr>
    <w:rPr>
      <w:rFonts w:ascii="Arial" w:hAnsi="Arial"/>
      <w:b/>
      <w:smallCaps/>
      <w:sz w:val="20"/>
    </w:rPr>
  </w:style>
  <w:style w:type="paragraph" w:styleId="Titre2">
    <w:name w:val="heading 2"/>
    <w:basedOn w:val="Normal"/>
    <w:next w:val="Normal"/>
    <w:link w:val="Titre2Car"/>
    <w:unhideWhenUsed/>
    <w:qFormat/>
    <w:rsid w:val="0015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CH" w:eastAsia="de-CH"/>
    </w:rPr>
  </w:style>
  <w:style w:type="paragraph" w:styleId="Titre3">
    <w:name w:val="heading 3"/>
    <w:basedOn w:val="Normal"/>
    <w:next w:val="Normal"/>
    <w:link w:val="Titre3Car"/>
    <w:unhideWhenUsed/>
    <w:qFormat/>
    <w:rsid w:val="00150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744E7C"/>
    <w:pPr>
      <w:keepNext/>
      <w:outlineLvl w:val="7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44E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44E7C"/>
    <w:pPr>
      <w:tabs>
        <w:tab w:val="center" w:pos="4536"/>
        <w:tab w:val="right" w:pos="9072"/>
      </w:tabs>
    </w:pPr>
  </w:style>
  <w:style w:type="character" w:styleId="Lienhypertexte">
    <w:name w:val="Hyperlink"/>
    <w:rsid w:val="00660103"/>
    <w:rPr>
      <w:color w:val="0000FF"/>
      <w:u w:val="single"/>
    </w:rPr>
  </w:style>
  <w:style w:type="table" w:styleId="Grilledutableau">
    <w:name w:val="Table Grid"/>
    <w:basedOn w:val="TableauNormal"/>
    <w:rsid w:val="00AF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rsid w:val="00150E27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Titre2Car">
    <w:name w:val="Titre 2 Car"/>
    <w:link w:val="Titre2"/>
    <w:rsid w:val="00150E27"/>
    <w:rPr>
      <w:rFonts w:ascii="Cambria" w:hAnsi="Cambria"/>
      <w:b/>
      <w:bCs/>
      <w:i/>
      <w:iCs/>
      <w:sz w:val="28"/>
      <w:szCs w:val="28"/>
      <w:lang w:val="de-CH" w:eastAsia="de-CH"/>
    </w:rPr>
  </w:style>
  <w:style w:type="character" w:styleId="Marquedecommentaire">
    <w:name w:val="annotation reference"/>
    <w:rsid w:val="00D75540"/>
    <w:rPr>
      <w:sz w:val="16"/>
      <w:szCs w:val="16"/>
    </w:rPr>
  </w:style>
  <w:style w:type="paragraph" w:styleId="Commentaire">
    <w:name w:val="annotation text"/>
    <w:basedOn w:val="Normal"/>
    <w:link w:val="CommentaireCar"/>
    <w:rsid w:val="00D75540"/>
    <w:rPr>
      <w:sz w:val="20"/>
    </w:rPr>
  </w:style>
  <w:style w:type="character" w:customStyle="1" w:styleId="CommentaireCar">
    <w:name w:val="Commentaire Car"/>
    <w:link w:val="Commentaire"/>
    <w:rsid w:val="00D75540"/>
    <w:rPr>
      <w:rFonts w:ascii="Amerigo BT" w:hAnsi="Amerigo BT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D75540"/>
    <w:rPr>
      <w:b/>
      <w:bCs/>
    </w:rPr>
  </w:style>
  <w:style w:type="character" w:customStyle="1" w:styleId="ObjetducommentaireCar">
    <w:name w:val="Objet du commentaire Car"/>
    <w:link w:val="Objetducommentaire"/>
    <w:rsid w:val="00D75540"/>
    <w:rPr>
      <w:rFonts w:ascii="Amerigo BT" w:hAnsi="Amerigo BT"/>
      <w:b/>
      <w:bCs/>
      <w:lang w:val="en-GB" w:eastAsia="nl-NL"/>
    </w:rPr>
  </w:style>
  <w:style w:type="paragraph" w:styleId="Textedebulles">
    <w:name w:val="Balloon Text"/>
    <w:basedOn w:val="Normal"/>
    <w:link w:val="TextedebullesCar"/>
    <w:rsid w:val="00D755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75540"/>
    <w:rPr>
      <w:rFonts w:ascii="Segoe UI" w:hAnsi="Segoe UI" w:cs="Segoe UI"/>
      <w:sz w:val="18"/>
      <w:szCs w:val="18"/>
      <w:lang w:val="en-GB" w:eastAsia="nl-NL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32E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556CD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0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mes/business-friendly-environment/sme-definitio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pn2.eurodyn.com/proxy/4998c79c/https/ec.europa.eu/info/funding-tenders/opportunities/portal/screen/opportunities/topic-details/HORIZON-JU-IHI-2025-09-04-single-s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1B0F-DA72-4E53-B929-92F2CB2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5652</Characters>
  <Application>Microsoft Office Word</Application>
  <DocSecurity>0</DocSecurity>
  <Lines>47</Lines>
  <Paragraphs>12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FFG</Company>
  <LinksUpToDate>false</LinksUpToDate>
  <CharactersWithSpaces>6360</CharactersWithSpaces>
  <SharedDoc>false</SharedDoc>
  <HLinks>
    <vt:vector size="6" baseType="variant"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http://ec.europa.eu/growth/smes/business-friendly-environment/sme-definition_en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HUY</dc:creator>
  <cp:keywords/>
  <cp:lastModifiedBy>Caroline Barelle</cp:lastModifiedBy>
  <cp:revision>2</cp:revision>
  <cp:lastPrinted>2018-01-11T09:45:00Z</cp:lastPrinted>
  <dcterms:created xsi:type="dcterms:W3CDTF">2025-04-14T16:12:00Z</dcterms:created>
  <dcterms:modified xsi:type="dcterms:W3CDTF">2025-04-14T16:12:00Z</dcterms:modified>
</cp:coreProperties>
</file>